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ackground w:color="FFFFFF"/>
  <w:body>
    <w:p>
      <w:pPr>
        <w:jc w:val="right"/>
        <w:spacing w:lineRule="auto" w:line="275"/>
        <w:rPr>
          <w:b w:val="1"/>
          <w:sz w:val="72"/>
          <w:szCs w:val="72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40"/>
          <w:szCs w:val="40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40"/>
          <w:szCs w:val="40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center"/>
        <w:spacing w:lineRule="auto" w:line="275"/>
        <w:ind w:right="64" w:firstLine="0"/>
        <w:rPr>
          <w:b w:val="1"/>
          <w:sz w:val="72"/>
          <w:szCs w:val="72"/>
          <w:u w:val="single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72"/>
          <w:szCs w:val="72"/>
          <w:u w:val="single"/>
          <w:shd w:val="clear" w:color="auto" w:fill="auto"/>
          <w:rFonts w:ascii="Times New Roman" w:eastAsia="Times New Roman" w:hAnsi="Times New Roman" w:cs="Times New Roman"/>
        </w:rPr>
        <w:t xml:space="preserve">Request for Proposal (RFP)</w:t>
      </w:r>
    </w:p>
    <w:p>
      <w:pPr>
        <w:jc w:val="center"/>
        <w:spacing w:lineRule="auto" w:line="275"/>
        <w:ind w:right="64" w:firstLine="0"/>
        <w:rPr>
          <w:b w:val="1"/>
          <w:sz w:val="56"/>
          <w:szCs w:val="56"/>
          <w:u w:val="single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56"/>
          <w:szCs w:val="56"/>
          <w:u w:val="single"/>
          <w:shd w:val="clear" w:color="auto" w:fill="auto"/>
          <w:rFonts w:ascii="Times New Roman" w:eastAsia="Times New Roman" w:hAnsi="Times New Roman" w:cs="Times New Roman"/>
        </w:rPr>
        <w:t xml:space="preserve">NHM-F Division</w:t>
      </w:r>
    </w:p>
    <w:p>
      <w:pPr>
        <w:jc w:val="center"/>
        <w:spacing w:lineRule="auto" w:line="275"/>
        <w:ind w:right="64" w:firstLine="0"/>
        <w:rPr>
          <w:sz w:val="72"/>
          <w:szCs w:val="72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56"/>
          <w:szCs w:val="56"/>
          <w:u w:val="single"/>
          <w:shd w:val="clear" w:color="auto" w:fill="auto"/>
          <w:rFonts w:ascii="Times New Roman" w:eastAsia="Times New Roman" w:hAnsi="Times New Roman" w:cs="Times New Roman"/>
        </w:rPr>
        <w:t>MoHFW</w:t>
      </w:r>
    </w:p>
    <w:p>
      <w:pPr>
        <w:spacing w:lineRule="auto" w:line="275"/>
        <w:rPr>
          <w:sz w:val="44"/>
          <w:szCs w:val="4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rPr>
          <w:b w:val="1"/>
          <w:sz w:val="48"/>
          <w:szCs w:val="48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48"/>
          <w:szCs w:val="48"/>
          <w:shd w:val="clear" w:color="auto" w:fill="auto"/>
          <w:rFonts w:ascii="Times New Roman" w:eastAsia="Times New Roman" w:hAnsi="Times New Roman" w:cs="Times New Roman"/>
        </w:rPr>
        <w:t xml:space="preserve">“For Appointment of Statutory Auditor for </w:t>
      </w:r>
      <w:r>
        <w:rPr>
          <w:b w:val="1"/>
          <w:sz w:val="48"/>
          <w:szCs w:val="48"/>
          <w:shd w:val="clear" w:color="auto" w:fill="auto"/>
          <w:rFonts w:ascii="Times New Roman" w:eastAsia="Times New Roman" w:hAnsi="Times New Roman" w:cs="Times New Roman"/>
        </w:rPr>
        <w:t xml:space="preserve">State Health Society (SHS) and District Health </w:t>
      </w:r>
      <w:r>
        <w:rPr>
          <w:b w:val="1"/>
          <w:sz w:val="48"/>
          <w:szCs w:val="48"/>
          <w:shd w:val="clear" w:color="auto" w:fill="auto"/>
          <w:rFonts w:ascii="Times New Roman" w:eastAsia="Times New Roman" w:hAnsi="Times New Roman" w:cs="Times New Roman"/>
        </w:rPr>
        <w:t xml:space="preserve">Society (DHS) for Audit of all programmes </w:t>
      </w:r>
      <w:r>
        <w:rPr>
          <w:b w:val="1"/>
          <w:sz w:val="48"/>
          <w:szCs w:val="48"/>
          <w:shd w:val="clear" w:color="auto" w:fill="auto"/>
          <w:rFonts w:ascii="Times New Roman" w:eastAsia="Times New Roman" w:hAnsi="Times New Roman" w:cs="Times New Roman"/>
        </w:rPr>
        <w:t xml:space="preserve">under Flexible Pool for RCH &amp; Health System </w:t>
      </w:r>
      <w:r>
        <w:rPr>
          <w:b w:val="1"/>
          <w:sz w:val="48"/>
          <w:szCs w:val="48"/>
          <w:shd w:val="clear" w:color="auto" w:fill="auto"/>
          <w:rFonts w:ascii="Times New Roman" w:eastAsia="Times New Roman" w:hAnsi="Times New Roman" w:cs="Times New Roman"/>
        </w:rPr>
        <w:t xml:space="preserve">Strengthening, National Health Programme </w:t>
      </w:r>
      <w:r>
        <w:rPr>
          <w:b w:val="1"/>
          <w:sz w:val="48"/>
          <w:szCs w:val="48"/>
          <w:shd w:val="clear" w:color="auto" w:fill="auto"/>
          <w:rFonts w:ascii="Times New Roman" w:eastAsia="Times New Roman" w:hAnsi="Times New Roman" w:cs="Times New Roman"/>
        </w:rPr>
        <w:t xml:space="preserve">and Urban Health Mission,  PM-ABHIM and </w:t>
      </w:r>
      <w:r>
        <w:rPr>
          <w:b w:val="1"/>
          <w:sz w:val="48"/>
          <w:szCs w:val="48"/>
          <w:shd w:val="clear" w:color="auto" w:fill="auto"/>
          <w:rFonts w:ascii="Times New Roman" w:eastAsia="Times New Roman" w:hAnsi="Times New Roman" w:cs="Times New Roman"/>
        </w:rPr>
        <w:t xml:space="preserve">ECRP-I &amp;II”</w:t>
      </w:r>
    </w:p>
    <w:p>
      <w:pPr>
        <w:jc w:val="both"/>
        <w:spacing w:lineRule="auto" w:line="275"/>
        <w:ind w:right="64" w:firstLine="0"/>
        <w:rPr>
          <w:sz w:val="48"/>
          <w:szCs w:val="48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48"/>
          <w:szCs w:val="48"/>
          <w:shd w:val="clear" w:color="auto" w:fill="auto"/>
          <w:rFonts w:ascii="Times New Roman" w:eastAsia="Times New Roman" w:hAnsi="Times New Roman" w:cs="Times New Roman"/>
        </w:rPr>
      </w:pPr>
      <w:r>
        <w:rPr>
          <w:sz w:val="20"/>
        </w:rPr>
        <w:drawing>
          <wp:anchor distT="0" distB="0" distL="114300" distR="114300" simplePos="0" relativeHeight="251624959" behindDoc="1" locked="0" layoutInCell="0" allowOverlap="1">
            <wp:simplePos x="0" y="0"/>
            <wp:positionH relativeFrom="column">
              <wp:posOffset>-1204599</wp:posOffset>
            </wp:positionH>
            <wp:positionV relativeFrom="paragraph">
              <wp:posOffset>148595</wp:posOffset>
            </wp:positionV>
            <wp:extent cx="7772400" cy="3097530"/>
            <wp:effectExtent l="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/Users/Dell/AppData/Roaming/PolarisOffice9/ETemp/3000_9434488/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3035" cy="3098165"/>
                    </a:xfrm>
                    <a:prstGeom prst="rect"/>
                    <a:noFill/>
                    <a:ln cap="flat"/>
                  </pic:spPr>
                </pic:pic>
              </a:graphicData>
            </a:graphic>
          </wp:anchor>
        </w:drawing>
      </w:r>
    </w:p>
    <w:p>
      <w:pPr>
        <w:spacing w:lineRule="auto" w:line="275"/>
        <w:rPr>
          <w:sz w:val="48"/>
          <w:szCs w:val="48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48"/>
          <w:szCs w:val="48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right"/>
        <w:spacing w:lineRule="auto" w:line="275"/>
        <w:rPr>
          <w:sz w:val="72"/>
          <w:szCs w:val="72"/>
          <w:shd w:val="clear" w:color="auto" w:fill="auto"/>
          <w:rFonts w:ascii="Times New Roman" w:eastAsia="Times New Roman" w:hAnsi="Times New Roman" w:cs="Times New Roman"/>
        </w:rPr>
      </w:pPr>
      <w:r>
        <w:rPr>
          <w:sz w:val="72"/>
          <w:szCs w:val="72"/>
          <w:shd w:val="clear" w:color="auto" w:fill="auto"/>
          <w:rFonts w:ascii="Times New Roman" w:eastAsia="Times New Roman" w:hAnsi="Times New Roman" w:cs="Times New Roman"/>
        </w:rPr>
        <w:t>[2025-26]</w:t>
      </w:r>
    </w:p>
    <w:p>
      <w:pPr>
        <w:sectPr>
          <w:titlePg/>
          <w15:footnoteColumns w:val="1"/>
          <w:headerReference w:type="default" r:id="rId6"/>
          <w:footerReference w:type="default" r:id="rId7"/>
          <w:pgSz w:w="12240" w:h="15840"/>
          <w:pgMar w:top="1440" w:left="1940" w:bottom="1440" w:right="880" w:header="0" w:footer="0" w:gutter="0"/>
          <w:pgNumType w:fmt="decimal"/>
          <w:docGrid w:type="default" w:linePitch="360" w:charSpace="0"/>
        </w:sectPr>
        <w:jc w:val="right"/>
        <w:spacing w:lineRule="auto" w:line="275"/>
        <w:rPr>
          <w:sz w:val="72"/>
          <w:szCs w:val="7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1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bookmarkStart w:id="1" w:name="page2"/>
      <w:bookmarkEnd w:id="1"/>
    </w:p>
    <w:p>
      <w:pPr>
        <w:jc w:val="both"/>
        <w:spacing w:lineRule="auto" w:line="275"/>
        <w:ind w:firstLine="72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State Health Society, ……… (Name of State), invites proposals from Chartered Accountant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(CA) firms empanelled with the </w:t>
      </w:r>
      <w:r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Comptroller &amp; Auditor General of India (C&amp;AG) and eligible to conduct </w:t>
      </w:r>
      <w:r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audits of major Public Sector Undertakings (PSUs) for the year 2025–26.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selected firm(s) will be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responsible for conducting the statutory audit of the State and District Health Societies under the National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Health Mission for the financial year 2025–26.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2.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ab/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Details regarding the background of the auditee, the units to be covered under the audit, the scope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of work, the terms of reference, and the eligibility criteria for selection of the CA firm are provided in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following paragraphs.</w:t>
      </w:r>
    </w:p>
    <w:p>
      <w:pPr>
        <w:jc w:val="center"/>
        <w:spacing w:lineRule="auto" w:line="275"/>
        <w:ind w:left="1" w:firstLine="0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Terms of Reference (ToR)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firstLine="72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National Rural Health Mission (NRHM) of the Ministry of Health &amp; Family Welfare (MoHFW)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was launched by the Government of India (GoI) on 12 April 2005 with the objective of improving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healthcare facilities across the country. With effect from the financial year 2013–14, the NRHM has been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subsumed under the umbrella programme of the National Health Mission (NHM). The NHM encompasses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National Urban Health Mission (NUHM) and also covers Communicable and Non-Communicable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Diseases (NCDs). The mission aims to provide accessible, affordable, and quality healthcare services to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population, with special emphasis on vulnerable sections of society.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tabs>
          <w:tab w:val="left" w:pos="0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2.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ab/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NHM provides an overarching framework under which existing programmes such as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Reproductive and Child Health (RCH) Programme—including RCH, Routine Immunization (RI), Pulse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Polio Immunization (PPI), and the National Iodine Deficiency Disorders Control Programme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(NIDDCP)—have been repositioned. It also includes Health System Strengthening initiatives under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NRHM, such as Ayushman Arogya Mandir and the ASHA Benefit Package (ABP), including facilitator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payments. In addition, various National Disease Control Programmes (NDCPs) and Non-Communicable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Disease (NCD) initiatives are covered. The National Urban Health Mission (NUHM), comprising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Ayushman Arogya Mandir, has also been integrated into the National Health Mission.</w:t>
      </w:r>
    </w:p>
    <w:p>
      <w:pPr>
        <w:jc w:val="both"/>
        <w:spacing w:lineRule="auto" w:line="275"/>
        <w:tabs>
          <w:tab w:val="left" w:pos="0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tabs>
          <w:tab w:val="left" w:pos="0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2.1 PM-ABHIM: Pradhan Mantri Ayushman Bharat Health Infrastructure Mission (PM-ABHIM), with a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total outlay of ₹64,180 crore over a period of five years, was launched on 25 October 2021. The mission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aims to develop and strengthen capacities at the primary, secondary, and tertiary levels of healthcare,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reinforce existing national institutions, and establish new institutions to support the detection and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management of new and emerging diseases.</w:t>
      </w:r>
    </w:p>
    <w:p>
      <w:pPr>
        <w:jc w:val="both"/>
        <w:spacing w:lineRule="auto" w:line="275"/>
        <w:tabs>
          <w:tab w:val="left" w:pos="0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 w:after="160"/>
        <w:contextualSpacing w:val="1"/>
        <w:tabs>
          <w:tab w:val="left" w:pos="172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2.2. ECRP I &amp; II: National Health Mission is one of the implementing agencies for the India COVID-19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Emergency Response and Health Systems Preparedness Project (ERHSPP) in States and Union Territories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through the State Health Societies (SHS). The project seeks to prevent, detect, and respond to threats posed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under ECRP–I and ECRP–II, while also strengthening health system preparedness. Further, release of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funds under ECRP-II is as per the approved Centre-State funding under NHM.</w:t>
      </w:r>
    </w:p>
    <w:p>
      <w:pPr>
        <w:jc w:val="both"/>
        <w:spacing w:lineRule="auto" w:line="259" w:after="16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snapToGrid w:val="off"/>
      </w:pPr>
    </w:p>
    <w:p>
      <w:pPr>
        <w:jc w:val="both"/>
        <w:spacing w:lineRule="auto" w:line="259" w:after="16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snapToGrid w:val="off"/>
      </w:pPr>
    </w:p>
    <w:p>
      <w:pPr>
        <w:rPr>
          <w:shd w:val="clear" w:color="auto" w:fill="auto"/>
        </w:rPr>
      </w:pPr>
    </w:p>
    <w:p>
      <w:pPr>
        <w:jc w:val="both"/>
        <w:spacing w:lineRule="auto" w:line="275"/>
        <w:tabs>
          <w:tab w:val="left" w:pos="341"/>
        </w:tabs>
        <w:rPr>
          <w:sz w:val="24"/>
          <w:szCs w:val="24"/>
          <w:shd w:val="clear" w:color="auto" w:fill="auto"/>
          <w:rFonts w:ascii="Times New Roman" w:hAnsi="Times New Roman" w:cs="Times New Roman"/>
          <w:lang w:bidi="en-US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3.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ab/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 </w:t>
      </w:r>
      <w:r>
        <w:rPr>
          <w:sz w:val="24"/>
          <w:szCs w:val="24"/>
          <w:shd w:val="clear" w:color="auto" w:fill="auto"/>
          <w:rFonts w:ascii="Times New Roman" w:hAnsi="Times New Roman" w:cs="Times New Roman"/>
          <w:lang w:bidi="en-US"/>
        </w:rPr>
        <w:t xml:space="preserve">To provide more flexibility to States/UTs and improve financial utilization, Dept. of Expenditure w.e.f. </w:t>
      </w:r>
      <w:r>
        <w:rPr>
          <w:sz w:val="24"/>
          <w:szCs w:val="24"/>
          <w:shd w:val="clear" w:color="auto" w:fill="auto"/>
          <w:rFonts w:ascii="Times New Roman" w:hAnsi="Times New Roman" w:cs="Times New Roman"/>
          <w:lang w:bidi="en-US"/>
        </w:rPr>
        <w:t xml:space="preserve">FY 202</w:t>
      </w:r>
      <w:r>
        <w:rPr>
          <w:sz w:val="24"/>
          <w:szCs w:val="24"/>
          <w:shd w:val="clear" w:color="auto" w:fill="auto"/>
          <w:rFonts w:ascii="Times New Roman" w:eastAsia="Malgun Gothic" w:hAnsi="Malgun Gothic" w:cs="Malgun Gothic"/>
        </w:rPr>
        <w:t>2</w:t>
      </w:r>
      <w:r>
        <w:rPr>
          <w:sz w:val="24"/>
          <w:szCs w:val="24"/>
          <w:shd w:val="clear" w:color="auto" w:fill="auto"/>
          <w:rFonts w:ascii="Times New Roman" w:hAnsi="Times New Roman" w:cs="Times New Roman"/>
          <w:lang w:bidi="en-US"/>
        </w:rPr>
        <w:t>-2</w:t>
      </w:r>
      <w:r>
        <w:rPr>
          <w:sz w:val="24"/>
          <w:szCs w:val="24"/>
          <w:shd w:val="clear" w:color="auto" w:fill="auto"/>
          <w:rFonts w:ascii="Times New Roman" w:eastAsia="Malgun Gothic" w:hAnsi="Malgun Gothic" w:cs="Malgun Gothic"/>
        </w:rPr>
        <w:t>3</w:t>
      </w:r>
      <w:r>
        <w:rPr>
          <w:sz w:val="24"/>
          <w:szCs w:val="24"/>
          <w:shd w:val="clear" w:color="auto" w:fill="auto"/>
          <w:rFonts w:ascii="Times New Roman" w:hAnsi="Times New Roman" w:cs="Times New Roman"/>
          <w:lang w:bidi="en-US"/>
        </w:rPr>
        <w:t xml:space="preserve"> has </w:t>
      </w:r>
      <w:r>
        <w:rPr>
          <w:b w:val="1"/>
          <w:color w:val="000000" w:themeColor="text1"/>
          <w:sz w:val="24"/>
          <w:szCs w:val="24"/>
          <w:shd w:val="clear" w:color="auto" w:fill="auto"/>
          <w:rFonts w:ascii="Times New Roman" w:hAnsi="Times New Roman" w:cs="Times New Roman"/>
          <w:lang w:bidi="en-US"/>
        </w:rPr>
        <w:t xml:space="preserve">approved the merger of pools</w:t>
      </w:r>
      <w:r>
        <w:rPr>
          <w:sz w:val="24"/>
          <w:szCs w:val="24"/>
          <w:shd w:val="clear" w:color="auto" w:fill="auto"/>
          <w:rFonts w:ascii="Times New Roman" w:hAnsi="Times New Roman" w:cs="Times New Roman"/>
          <w:lang w:bidi="en-US"/>
        </w:rPr>
        <w:t xml:space="preserve">.  The present arrangement of pools: -</w:t>
      </w:r>
    </w:p>
    <w:tbl>
      <w:tblID w:val="0"/>
      <w:tblPr>
        <w:tblCellMar>
          <w:left w:w="0" w:type="dxa"/>
          <w:top w:w="0" w:type="dxa"/>
          <w:right w:w="0" w:type="dxa"/>
          <w:bottom w:w="0" w:type="dxa"/>
        </w:tblCellMar>
        <w:tblW w:w="9770" w:type="dxa"/>
        <w:tblInd w:w="284" w:type="dxa"/>
        <w:tblLook w:val="0004A0" w:firstRow="1" w:lastRow="0" w:firstColumn="1" w:lastColumn="0" w:noHBand="0" w:noVBand="1"/>
        <w:tblLayout w:type="fixed"/>
      </w:tblPr>
      <w:tblGrid>
        <w:gridCol w:w="9770"/>
      </w:tblGrid>
      <w:tr>
        <w:trPr>
          <w:trHeight w:hRule="atleast" w:val="340"/>
        </w:trPr>
        <w:tc>
          <w:tcPr>
            <w:tcW w:type="dxa" w:w="9770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hAnsi="Times New Roman" w:cs="Times New Roman"/>
              </w:rPr>
            </w:pPr>
          </w:p>
          <w:p>
            <w:pPr>
              <w:pStyle w:val="PO26"/>
              <w:numPr>
                <w:numId w:val="5"/>
                <w:ilvl w:val="0"/>
              </w:numPr>
              <w:jc w:val="both"/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hAnsi="Times New Roman" w:cs="Times New Roman"/>
              </w:rPr>
            </w:pPr>
            <w:r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hAnsi="Times New Roman" w:cs="Times New Roman"/>
              </w:rPr>
              <w:t xml:space="preserve">Flexible Pool for RCH, Health System Strengthening, National Health Programmes, </w:t>
            </w:r>
            <w:r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hAnsi="Times New Roman" w:cs="Times New Roman"/>
              </w:rPr>
              <w:t xml:space="preserve">and Urban Health Mission (Scheme Code: 4063)</w:t>
            </w:r>
          </w:p>
          <w:p>
            <w:pPr>
              <w:pStyle w:val="PO26"/>
              <w:jc w:val="both"/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hAnsi="Times New Roman" w:cs="Times New Roman"/>
              </w:rPr>
            </w:pPr>
          </w:p>
          <w:p>
            <w:pPr>
              <w:pStyle w:val="PO26"/>
              <w:numPr>
                <w:numId w:val="5"/>
                <w:ilvl w:val="0"/>
              </w:numPr>
              <w:jc w:val="both"/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hAnsi="Times New Roman" w:cs="Times New Roman"/>
              </w:rPr>
            </w:pPr>
            <w:r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hAnsi="Times New Roman" w:cs="Times New Roman"/>
              </w:rPr>
              <w:t xml:space="preserve">Infrastructure Maintenance (Scheme Code: 4064)</w:t>
            </w:r>
          </w:p>
          <w:p>
            <w:pPr>
              <w:pStyle w:val="PO26"/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hAnsi="Times New Roman" w:cs="Times New Roman"/>
              </w:rPr>
            </w:pPr>
          </w:p>
          <w:p>
            <w:pPr>
              <w:pStyle w:val="PO26"/>
              <w:numPr>
                <w:numId w:val="5"/>
                <w:ilvl w:val="0"/>
              </w:numPr>
              <w:jc w:val="both"/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hAnsi="Times New Roman" w:cs="Times New Roman"/>
              </w:rPr>
            </w:pPr>
            <w:r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hAnsi="Times New Roman" w:cs="Times New Roman"/>
              </w:rPr>
              <w:t xml:space="preserve">Strengthening of National Programme Management Unit (Scheme Code: 4065)</w:t>
            </w:r>
          </w:p>
          <w:p>
            <w:pPr>
              <w:jc w:val="both"/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hAnsi="Times New Roman" w:cs="Times New Roman"/>
              </w:rPr>
            </w:pPr>
          </w:p>
          <w:p>
            <w:pPr>
              <w:jc w:val="both"/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hAnsi="Times New Roman" w:cs="Times New Roman"/>
              </w:rPr>
            </w:pPr>
            <w:r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hAnsi="Times New Roman" w:cs="Times New Roman"/>
              </w:rPr>
              <w:t xml:space="preserve">In addition, Pradhan Mantri Ayushman Bharat Health Infrastructure Mission (PM-ABHIM) </w:t>
            </w:r>
            <w:r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hAnsi="Times New Roman" w:cs="Times New Roman"/>
              </w:rPr>
              <w:t xml:space="preserve">is implemented under the National Health Mission framework (Scheme Code: 3991)</w:t>
            </w:r>
          </w:p>
        </w:tc>
      </w:tr>
    </w:tbl>
    <w:p>
      <w:pPr>
        <w:spacing w:lineRule="auto" w:line="275"/>
        <w:ind w:left="341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numPr>
          <w:numId w:val="1"/>
          <w:ilvl w:val="0"/>
        </w:numPr>
        <w:jc w:val="both"/>
        <w:spacing w:lineRule="auto" w:line="275" w:before="120"/>
        <w:ind w:left="340" w:hanging="341"/>
        <w:tabs>
          <w:tab w:val="left" w:pos="341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Institutional and Funding Arrangements: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For the implementation of the above programmes,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Ministry of Health &amp; Family Welfare (MoHFW) has mandated the establishment of an Integrated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Health Society at both the State and District levels. These societies are registered as legal entities under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Societies Registration Act, 1860, at the respective State and District levels.</w:t>
      </w:r>
    </w:p>
    <w:p>
      <w:pPr>
        <w:jc w:val="both"/>
        <w:spacing w:lineRule="auto" w:line="275" w:before="120"/>
        <w:ind w:left="34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Integrated State Health Society (SHS) functions in close coordination with the Directorate of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Health &amp; Family Welfare, while the District Health Societies (DHSs) operate in coordination with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District Collector and the District Chief Medical Officer (CMO). Programme implementation is carried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out through the offices of the District Chief Medical Officer, Blocks, Community Health Centres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(CHCs), Sub-District Hospitals (SDHs), Ayushman Arogya Mandir – Primary Health Centres (AAM-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PHCs), Ayushman Arogya Mandir – Sub-Centres/ Sub-Health Centres (AAM-SCs/SHC), Rogi Kalyan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Samities (RKS), and Village Health, Sanitation and Nutrition Committees (VHSNCs).</w:t>
      </w:r>
    </w:p>
    <w:p>
      <w:pPr>
        <w:jc w:val="both"/>
        <w:spacing w:lineRule="auto" w:line="275" w:before="120"/>
        <w:ind w:left="34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Certain activities are managed at the State level, including drug procurement, Information, Education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and Communication (IEC) activities, civil works, and training. These activities are undertaken through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specialized entities such as the State Institute of Health and Family Welfare (SIHFW), IEC Bureau,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Public Works Department (PWD), Directorate of Health, and Municipal Corporations for urban health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components.</w:t>
      </w:r>
    </w:p>
    <w:p>
      <w:pPr>
        <w:jc w:val="both"/>
        <w:spacing w:lineRule="auto" w:line="275" w:before="12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 w:before="120"/>
        <w:ind w:left="426" w:hanging="426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4.1  </w:t>
      </w: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Funding &amp; Accounting Arrangements: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Rule 232(v) of the General Financial Rules (GFR)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prescribes the release of funds to State Governments and the monitoring of fund utilization through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Public Financial Management System (PFMS). To enhance monitoring of fund availability and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utilization under Centrally Sponsored Schemes (CSS) and to reduce fund float, the Department of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Expenditure, vide Office Memorandum No. 1(13) PFMS/FCD/2020 dated 23 March 2021, issued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guidelines for a revised procedure for the flow of funds under CSS.</w:t>
      </w:r>
    </w:p>
    <w:p>
      <w:pPr>
        <w:jc w:val="both"/>
        <w:spacing w:lineRule="auto" w:line="275" w:before="120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Further, in accordance with Rule 230(7) of the General Financial Rules (GFR), 2017, which mandates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application of the principle of “just-in-time release” for payments to the extent possible, and with a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view to enhancing cash management efficiency at both the Central and State levels, an alternative fund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flow mechanism known as SNA–SPARSH (System for Payment, Accounting and Reconciliation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through a Single Nodal Agency in Real Time) has been introduced.</w:t>
      </w:r>
    </w:p>
    <w:p>
      <w:pPr>
        <w:jc w:val="both"/>
        <w:spacing w:lineRule="auto" w:line="275" w:before="12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 w:before="120"/>
        <w:ind w:left="567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This mechanism facilitates the transfer of funds under CSS through an integrated framework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comprising the PFMS, the State Integrated Financial Management Information System (IFMIS), and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e-Kuber platform of the Reserve Bank of India (RBI), implemented in a phased manner.</w:t>
      </w:r>
    </w:p>
    <w:p>
      <w:pPr>
        <w:jc w:val="both"/>
        <w:spacing w:lineRule="auto" w:line="275" w:before="120"/>
        <w:ind w:left="567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adoption of the SNA-SPARSH platform has been notified by the DoE vide O.M. dated 04</w:t>
      </w:r>
      <w:r>
        <w:rPr>
          <w:vertAlign w:val="superscript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th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September 2023 and 04</w:t>
      </w:r>
      <w:r>
        <w:rPr>
          <w:vertAlign w:val="superscript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th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October 2024 for PM-ABHIM and NHM respectively.</w:t>
      </w:r>
    </w:p>
    <w:p>
      <w:pPr>
        <w:jc w:val="both"/>
        <w:spacing w:lineRule="auto" w:line="275" w:before="120"/>
        <w:ind w:left="567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Under the SNA-SPARSH mechanism, the Ministry provides drawing limits for the Central share to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States through PFMS known as Mother Sanction. Based on this, the State Treasury issues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consolidated drawing limits (Central share and State share) to the Single Nodal Agency (SNA)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known as Master Sanction. Thereafter, the implementing agencies initiate payment files. Upon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submission of payment files, the Ministry releases the Central share, followed by the addition of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State share, and the full payment is transferred directly to the bank accounts of vendors or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beneficiaries through the RBI platform.</w:t>
      </w:r>
    </w:p>
    <w:p>
      <w:pPr>
        <w:jc w:val="both"/>
        <w:spacing w:lineRule="auto" w:line="275" w:before="120"/>
        <w:ind w:left="567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Further, a revised procedure for the Single Nodal Agency (SNA), dated 20 October 2023, has been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prescribed for the flow of funds to UT without a Legislature. Under this procedure, separate books of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accounts and other financial records are required to be maintained for each scheme. Additionally,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separate financial and activity reports must be submitted at prescribed frequencies to the respective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monitoring units of the MoHFW, GoI.  </w:t>
      </w:r>
    </w:p>
    <w:p>
      <w:pPr>
        <w:spacing w:lineRule="auto" w:line="275"/>
        <w:ind w:left="567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numPr>
          <w:numId w:val="2"/>
          <w:ilvl w:val="0"/>
        </w:numPr>
        <w:jc w:val="both"/>
        <w:spacing w:lineRule="auto" w:line="275" w:before="120"/>
        <w:ind w:left="567" w:hanging="567"/>
        <w:tabs>
          <w:tab w:val="left" w:pos="567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Financing by Development Partners/ Donors: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Some programmes under the NHM and PM-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ABHIM are also supported by development partners, such as the Asian Development Bank (ADB)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and the Global Fund to Fight AIDS, Tuberculosis and Malaria (GFATM)/World Bank, for which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credit agreements have been executed by the GoI with the respective development partners. Auditors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will be required to report on compliance with the specific fiduciary requirements of these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development partners. Copies of the legal agreements and other relevant project documents will be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provided to the auditors, if required, by the State Health Society (SHS) or the concerned programme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division in the State.</w:t>
      </w:r>
    </w:p>
    <w:p>
      <w:pPr>
        <w:jc w:val="both"/>
        <w:spacing w:lineRule="auto" w:line="275" w:before="120"/>
        <w:ind w:left="284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numPr>
          <w:numId w:val="2"/>
          <w:ilvl w:val="0"/>
        </w:numPr>
        <w:jc w:val="both"/>
        <w:spacing w:lineRule="auto" w:line="275"/>
        <w:ind w:left="567" w:hanging="567"/>
        <w:tabs>
          <w:tab w:val="left" w:pos="562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Objective of Audit Services: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objective of the audit is to provide the MoHFW with adequate,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independent, and professional assurance that the grant proceeds provided by MoHFW have been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utilized for their intended purposes in accordance with the approved Programme Implementation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Plans (PIPs) and Annual Work Plans (AWPs) of the respective programmes. The audit also seeks to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ensure that the annual financial statements are free from material misstatements and that the terms of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credit/loan agreements with development partners are complied with in all material respects.</w:t>
      </w:r>
    </w:p>
    <w:p>
      <w:pPr>
        <w:pStyle w:val="PO26"/>
        <w:ind w:left="567" w:hanging="84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567" w:firstLine="0"/>
        <w:tabs>
          <w:tab w:val="left" w:pos="562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audit of the financial statements of the State and District Health Societies, as well as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Consolidated Financial Statements of the State and District as a whole i.e. including Balance Sheet,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Income &amp; Expenditure Statement, Receipt &amp; Payment Statement, relevant accounting policies, notes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to accounts, schedules, Bank Reconciliation Statements, Statement of Funds Position, and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Reconciliation of Expenditures (FMR and PFMS expenditure) is intended to enable the auditor to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express a professional opinion on the following:</w:t>
      </w:r>
    </w:p>
    <w:p>
      <w:pPr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567" w:firstLine="0"/>
        <w:tabs>
          <w:tab w:val="left" w:pos="1021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a) True and Fair View: Whether the financial statements present a true and fair view of the financial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position of the individual District Health Societies (DHSs), State Health Societies (SHSs), and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consolidated District and State Health Societies as at the end of the fiscal year, and of the funds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received and expenditures incurred for the accounting period ending 31 March 2026.</w:t>
      </w:r>
    </w:p>
    <w:p>
      <w:pPr>
        <w:jc w:val="both"/>
        <w:spacing w:lineRule="auto" w:line="275"/>
        <w:ind w:left="567" w:firstLine="0"/>
        <w:tabs>
          <w:tab w:val="left" w:pos="1021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567" w:firstLine="0"/>
        <w:tabs>
          <w:tab w:val="left" w:pos="1021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b) Proper Utilization of Funds: Whether the funds were utilized for the purposes for which they were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provided.</w:t>
      </w:r>
    </w:p>
    <w:p>
      <w:pPr>
        <w:jc w:val="both"/>
        <w:spacing w:lineRule="auto" w:line="275"/>
        <w:ind w:left="567" w:firstLine="0"/>
        <w:tabs>
          <w:tab w:val="left" w:pos="1021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567" w:firstLine="0"/>
        <w:tabs>
          <w:tab w:val="left" w:pos="1021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c) Compliance with Development Partner Requirements: Where programmes are financed by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development partners, whether the respective programme expenditures are eligible for financing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under the relevant grant or credit agreements.</w:t>
      </w:r>
    </w:p>
    <w:p>
      <w:pPr>
        <w:jc w:val="both"/>
        <w:spacing w:lineRule="auto" w:line="275"/>
        <w:ind w:left="567" w:firstLine="0"/>
        <w:tabs>
          <w:tab w:val="left" w:pos="1021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567" w:firstLine="0"/>
        <w:tabs>
          <w:tab w:val="left" w:pos="1021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books of accounts maintained by the SHSs, DHSs, and other implementing units i.e. including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Blocks, Community Health Centres (CHCs), Sub-District Hospitals (SDHs), Ayushman Arogya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Mandir – Primary Health Centres (AAM-PHCs), Ayushman Arogya Mandir – Sub-Centres/Sub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Health Centres (AAM-SCs/SHCs), Village Health, Nutrition and Sanitation Committees (VHNSCs),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etc.—shall form the basis for the preparation of the individual DHS and SHS financial statements as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well as the consolidated financial statements for the State as a whole.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numPr>
          <w:numId w:val="3"/>
          <w:ilvl w:val="1"/>
        </w:numPr>
        <w:jc w:val="both"/>
        <w:spacing w:lineRule="auto" w:line="275"/>
        <w:ind w:left="567" w:hanging="567"/>
        <w:tabs>
          <w:tab w:val="left" w:pos="567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>Standards: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audit will be conducted in accordance with the </w:t>
      </w:r>
      <w:r>
        <w:rPr>
          <w:i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Engagement and Quality Control </w:t>
      </w:r>
      <w:r>
        <w:rPr>
          <w:i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Standards (Standards on Auditing)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issued by the Institute of Chartered Accountants of India (ICAI).</w:t>
      </w:r>
    </w:p>
    <w:p>
      <w:pPr>
        <w:jc w:val="both"/>
        <w:spacing w:lineRule="auto" w:line="275"/>
        <w:ind w:left="567" w:hanging="567"/>
        <w:tabs>
          <w:tab w:val="left" w:pos="567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567" w:firstLine="0"/>
        <w:tabs>
          <w:tab w:val="left" w:pos="567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auditor is required to consider materiality when planning and performing the audit (except where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 minimum coverage of implementing units is specifically prescribed) to reduce audit risk to a level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that is acceptable and consistent with the objectives of the audit.</w:t>
      </w:r>
    </w:p>
    <w:p>
      <w:pPr>
        <w:jc w:val="both"/>
        <w:spacing w:lineRule="auto" w:line="275"/>
        <w:ind w:left="567" w:hanging="567"/>
        <w:tabs>
          <w:tab w:val="left" w:pos="567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567" w:firstLine="0"/>
        <w:tabs>
          <w:tab w:val="left" w:pos="567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In addition, the auditor must specifically assess and address the risk of material misstatements in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financial statements arising from fraud, and take appropriate measures to identify and respond to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such risks during the audit process.</w:t>
      </w:r>
    </w:p>
    <w:p>
      <w:pPr>
        <w:jc w:val="both"/>
        <w:spacing w:lineRule="auto" w:line="275"/>
        <w:ind w:left="567" w:firstLine="0"/>
        <w:tabs>
          <w:tab w:val="left" w:pos="567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8.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      </w:t>
      </w: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Criteria for Selection of Auditors:</w:t>
      </w:r>
    </w:p>
    <w:p>
      <w:pPr>
        <w:jc w:val="both"/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993" w:hanging="993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              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8.1 C&amp;AG-Empanelled Major Audit Firms: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Only firms empanelled with the Comptroller &amp;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Auditor General of India (C&amp;AG) for the year 2025-26 and eligible to conduct audits of major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Public Sector Undertakings (PSUs) shall be eligible to audit the NHM programmes. Firms are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required to submit details as per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Form T-2.</w:t>
      </w:r>
    </w:p>
    <w:p>
      <w:pPr>
        <w:jc w:val="both"/>
        <w:spacing w:lineRule="auto" w:line="275"/>
        <w:ind w:left="993" w:hanging="993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8.2 Selection through Open Tender: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selection of auditors should be conducted on an open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tender basis to ensure transparency and competitiveness.</w:t>
      </w:r>
    </w:p>
    <w:p>
      <w:pPr>
        <w:pStyle w:val="PO26"/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8.3 Preference for Firms with Head Office/Local Branch in State Capital: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Firms having a Head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Office or local branch in the State capital for which the proposal is given preference during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finalization of the financial bid. Such offices must have existed in the State for at least three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years, as certified by the Institute of Chartered Accountants of India (ICAI).</w:t>
      </w:r>
    </w:p>
    <w:p>
      <w:pPr>
        <w:pStyle w:val="PO26"/>
        <w:jc w:val="both"/>
        <w:spacing w:lineRule="auto" w:line="275"/>
        <w:ind w:left="993" w:firstLine="0"/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Note: For North Eastern (NE) States or Union Territories (UTs) where qualified auditors are </w:t>
      </w:r>
      <w:r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in scantiness, proposals from firms located in neighbouring States may be considered.</w:t>
      </w:r>
    </w:p>
    <w:p>
      <w:pPr>
        <w:pStyle w:val="PO26"/>
        <w:jc w:val="both"/>
        <w:spacing w:lineRule="auto" w:line="275"/>
        <w:ind w:left="993" w:firstLine="0"/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8.4 Language and Team Requirements: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Firms must provide an undertaking that the audit team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members are proficient in the State’s official language (both oral and written) and that the team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will be headed by a Chartered Accountant on a regular basis.</w:t>
      </w:r>
    </w:p>
    <w:p>
      <w:pPr>
        <w:pStyle w:val="PO26"/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8.5 Eligibility and Additional Weightage: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CA firms empanelled with C&amp;AG for the year 2025-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26 and eligible to conduct audits of major PSUs are eligible to audit NHM programmes. Firms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with Head Office/Branch offices in the designated State may be given additional weightage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during the evaluation of the technical proposal. In NE States/UTs, proposals from neighbouring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States may be considered if auditors are infrequent. The auditor will be finalized based on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financial bids after the technical proposal is cleared. Details of the firm must be submitted as per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Form T-2.</w:t>
      </w:r>
    </w:p>
    <w:p>
      <w:pPr>
        <w:pStyle w:val="PO26"/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8.6 Disclosure of Minimum Fees in RFP: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States may fix the minimum audit fees in the tender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document, taking into account resources involved, the number of districts (100%) and blocks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(40%) to be covered, and minimum days required for audit completion. States may refer to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ICAI guidelines no.1-CA(7)/03/2016 dated 7/4/2016 for indicative minimum fees. The State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may also consider the average audit fees paid over the last three years.</w:t>
      </w:r>
    </w:p>
    <w:p>
      <w:pPr>
        <w:pStyle w:val="PO26"/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8.7 Audit Fees and TA/DA: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Firms must quote consolidated audit fees, including expenses on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TA/DA and applicable taxes. If the audit team requests stay arrangements, the cost will be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adjusted against the quoted fees. The audit team is required to visit 100% of districts and at least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40% of blocks within each district.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/>
        </w:rPr>
        <w:t xml:space="preserve">The Audit f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ees should be quoted considering th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/>
        </w:rPr>
        <w:t>ese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requirement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/>
        </w:rPr>
        <w:t>s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.</w:t>
      </w:r>
    </w:p>
    <w:p>
      <w:pPr>
        <w:pStyle w:val="PO26"/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jc w:val="both"/>
        <w:spacing w:lineRule="auto" w:line="275"/>
        <w:ind w:left="993" w:firstLine="0"/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8.8 Re-appointment of Auditor: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An auditor, once appointed, may continue for a maximum of two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additional years, subject to satisfactory performance. Yearly approval of the Executive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Committee is required, along with confirmation that the firm remains on the C&amp;AG panel and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eligible for conducting PSU audits. No continuation beyond this extended period will be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permitted. Any observations from the Ministry must be considered before re-appointment. </w:t>
      </w:r>
      <w:r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It is </w:t>
      </w:r>
      <w:r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also clarified that “No auditor can take the assignment of more than three (3) audits under </w:t>
      </w:r>
      <w:r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NHM. A certification in this regard may be obtained from the auditor.”</w:t>
      </w:r>
    </w:p>
    <w:p>
      <w:pPr>
        <w:pStyle w:val="PO26"/>
        <w:jc w:val="both"/>
        <w:spacing w:lineRule="auto" w:line="275"/>
        <w:ind w:left="993" w:firstLine="0"/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8.9 Maximum Number of Audits under NHM: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No auditor may take up audits for more than three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States in a year. A certificate confirming this must be provided by the auditor.</w:t>
      </w:r>
    </w:p>
    <w:p>
      <w:pPr>
        <w:pStyle w:val="PO26"/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8.10 Tie-Breaker for Same Audit Fee: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If two or more firms quote the same audit fee, selection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shall be based on the following priority-wise criteria:</w:t>
      </w:r>
    </w:p>
    <w:p>
      <w:pPr>
        <w:pStyle w:val="PO26"/>
        <w:numPr>
          <w:numId w:val="6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Past experience in handling Government contracts and conduct of the firm.</w:t>
      </w:r>
    </w:p>
    <w:p>
      <w:pPr>
        <w:pStyle w:val="PO26"/>
        <w:numPr>
          <w:numId w:val="6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Turnover of the firm.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jc w:val="both"/>
        <w:spacing w:lineRule="auto" w:line="275"/>
        <w:ind w:left="993" w:firstLine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9.      </w:t>
      </w:r>
      <w:r>
        <w:rPr>
          <w:b w:val="1"/>
          <w:sz w:val="24"/>
          <w:szCs w:val="24"/>
          <w:u w:val="single"/>
          <w:shd w:val="clear" w:color="auto" w:fill="auto"/>
          <w:rFonts w:ascii="Times New Roman" w:hAnsi="Times New Roman" w:cs="Times New Roman"/>
        </w:rPr>
        <w:t xml:space="preserve">Other Major Points Related to Statutory Audit:</w:t>
      </w:r>
    </w:p>
    <w:p>
      <w:pPr>
        <w:jc w:val="both"/>
        <w:spacing w:lineRule="auto" w:line="275"/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9.1 Timely Preparation of Accounts:</w:t>
      </w:r>
      <w:r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To ensure timely completion of the audit, the State should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ensure that the books of accounts are ready at all locations prior to the commencement of the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audit. Additionally, timely availability of required information to the auditors must be ensured to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facilitate completion of the audit within the stipulated timelines.</w:t>
      </w:r>
    </w:p>
    <w:p>
      <w:pPr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9.2 Pre-Bid Conference Clarifications: During the pre-bid conference, participating firms should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be clearly informed about the audit requirements, including the number of districts and blocks to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be covered, physical visits by audit teams to each location, and the number of implementing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agencies from which Utilization Certificates (UCs)/Statements of Expenditure (SOEs) are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received and incorporated into the Annual Financial Statements, to ensure the quality of the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audit is not compromised.</w:t>
      </w:r>
    </w:p>
    <w:p>
      <w:pPr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9.3 Standing Committee for Auditor Selection:</w:t>
      </w:r>
      <w:r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The State should constitute a Standing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Committee, headed by the Mission Director (NHM), for the selection of auditors, as well as for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follow-up and implementation of compliance for audit observations from previous years.</w:t>
      </w:r>
    </w:p>
    <w:p>
      <w:pPr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9.4 Exit Conference:</w:t>
      </w:r>
      <w:r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Upon completion of the audit, the State should organize an exit conference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with the auditors to discuss audit observations.</w:t>
      </w:r>
    </w:p>
    <w:p>
      <w:pPr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9.5 Retention of Working Papers:</w:t>
      </w:r>
      <w:r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A copy of the auditors’ working papers shall be retained by the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Director (Finance)/State Finance Manager (SFM) in the State.</w:t>
      </w:r>
    </w:p>
    <w:p>
      <w:pPr>
        <w:jc w:val="both"/>
        <w:spacing w:lineRule="auto" w:line="275"/>
        <w:ind w:left="993" w:firstLine="0"/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ind w:left="993" w:hanging="273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    9.6 Timeline for Appointment of Auditor: The process of auditor appointment has to be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completed by 25 April 2026, and intimation of the appointed auditor, along with the fees fixed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and the evaluation sheet, must be submitted to the Ministry by 05 May 2026.</w:t>
      </w:r>
    </w:p>
    <w:p>
      <w:pPr>
        <w:jc w:val="both"/>
        <w:spacing w:lineRule="auto" w:line="275"/>
        <w:ind w:left="993" w:hanging="273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ind w:left="993" w:hanging="273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   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9.7 Completion of District Audits:</w:t>
      </w:r>
      <w:r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The audit of all District Health Societies should be completed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by 05 June 2026, and the respective Audit Reports issued before 30 June 2026.</w:t>
      </w:r>
    </w:p>
    <w:p>
      <w:pPr>
        <w:jc w:val="both"/>
        <w:spacing w:lineRule="auto" w:line="275"/>
        <w:ind w:left="993" w:hanging="273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9.8 Consolidation of Audit Reports at State Level: The consolidation of audit reports from all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districts, along with all necessary components such as Accounting Policies, Notes to Accounts,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and Management Letter, to be completed by the State and the final consolidated report submitted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by 31 July 2026.</w:t>
      </w:r>
    </w:p>
    <w:p>
      <w:pPr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ind w:left="993" w:hanging="284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     9.9 Submission of Audit Report:</w:t>
      </w:r>
      <w:r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The Audit Report, as per the Appendices of the RFP, to be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submitted in triplicate with spiral binding, along with a soft copy (PDF/Scanned) emailed to </w:t>
      </w:r>
      <w:r>
        <w:rPr>
          <w:i w:val="1"/>
          <w:sz w:val="24"/>
          <w:szCs w:val="24"/>
          <w:shd w:val="clear" w:color="auto" w:fill="auto"/>
          <w:rFonts w:ascii="Times New Roman" w:hAnsi="Times New Roman" w:cs="Times New Roman"/>
        </w:rPr>
        <w:t>pk.singh72@nic.in</w:t>
      </w:r>
      <w:r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  <w:t>,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 by 31 July 2026.</w:t>
      </w:r>
    </w:p>
    <w:p>
      <w:pPr>
        <w:jc w:val="both"/>
        <w:spacing w:lineRule="auto" w:line="275"/>
        <w:ind w:left="993" w:hanging="284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9.10 Compliance with Audit Observations:</w:t>
      </w:r>
      <w:r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Compliance reports addressing audit observations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must be submitted to the Ministry of Health &amp; Family Welfare within six months of audit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>completion.</w:t>
      </w:r>
    </w:p>
    <w:p>
      <w:pPr>
        <w:jc w:val="both"/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10.     </w:t>
      </w: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Scope and Coverage of Audit: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In conducting the audit, special attention should be paid to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following areas: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10.1 Assessment of Financial Systems and Controls</w:t>
      </w:r>
      <w:r>
        <w:rPr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>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auditor to assess the adequacy of the project’s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financial systems, including financial and operational controls. This assessment to cover:</w:t>
      </w:r>
    </w:p>
    <w:p>
      <w:pPr>
        <w:pStyle w:val="PO26"/>
        <w:numPr>
          <w:numId w:val="7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Adequacy and effectiveness of accounting, financial, and operational controls;</w:t>
      </w:r>
    </w:p>
    <w:p>
      <w:pPr>
        <w:pStyle w:val="PO26"/>
        <w:numPr>
          <w:numId w:val="7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Level of compliance with established policies, plans, and procedures;</w:t>
      </w:r>
    </w:p>
    <w:p>
      <w:pPr>
        <w:pStyle w:val="PO26"/>
        <w:numPr>
          <w:numId w:val="7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Reliability of accounting systems, data, and financial reports;</w:t>
      </w:r>
    </w:p>
    <w:p>
      <w:pPr>
        <w:pStyle w:val="PO26"/>
        <w:numPr>
          <w:numId w:val="7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Methods for remedying weak controls; and</w:t>
      </w:r>
    </w:p>
    <w:p>
      <w:pPr>
        <w:pStyle w:val="PO26"/>
        <w:numPr>
          <w:numId w:val="7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Verification of assets and liabilities.</w:t>
      </w:r>
    </w:p>
    <w:p>
      <w:pPr>
        <w:jc w:val="both"/>
        <w:spacing w:lineRule="auto" w:line="275"/>
        <w:ind w:left="360" w:firstLine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specific report on these aspects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to be provided annually as part of the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Management Letter.</w:t>
      </w:r>
    </w:p>
    <w:p>
      <w:pPr>
        <w:jc w:val="both"/>
        <w:spacing w:lineRule="auto" w:line="275"/>
        <w:ind w:left="360" w:firstLine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10.2 Utilization of Funds: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auditor to verify that funds have been utilized in accordance with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conditions laid down by the MoHFW, GoI, ensuring due attention to economy, efficiency, and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effectiveness, and that funds were used only for their intended purposes. The auditor to also confirm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that any required State counterpart contributions have been provided.</w:t>
      </w: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10.3 Procurement of Goods and Services: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auditor to ensure that goods and services financed under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each scheme have been procured in accordance with the relevant procurement guidelines issued by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Government of India/State Government. For programmes supported by development partners, such as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NDCPs, the auditor shall verify compliance with the terms of agreements between GOI and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respective development partners, as well as adherence to programme-specific procurement manuals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and guidelines issued by the Programme Divisions of MoHFW. All expenditures must have complete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supporting documentation.</w:t>
      </w: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10.4 Maintenance of Records: The auditor to verify that all necessary supporting documents, records,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and accounts have been properly maintained for the project.</w:t>
      </w: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10.5 Utilization of State Share: The auditor to ensure that the matching State share against Commodity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and Infrastructure Maintenance grants has been utilized in accordance with the 0:100 (Central Share: 0,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State Share: 100) SLS (State Linked Scheme) as per DoE guidelines dated 27 June 2025.</w:t>
      </w: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10.6 Sample Coverage of Sub-District Implementing Units: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Audit to cover 100% of District Health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Societies (DHSs), each being a legally registered society. Audit to cover at least 40% of Block-level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CHCs and AAM-Primary Health Centres (PHCs). At least 50% of these blocks should be newly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selected, with the remaining possibly from the previous year’s audit. The sample to ensure inclusion of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Block-level CHCs and AAM-PHCs in each district. All vouchers pertaining to health facilities should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be made available at the respective facility (DH, CHC, AAM-PHC) for audit. Further, audit to also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cover expenditures incurred through Rogi Kalyan Samities (RKSs) at DH, CHC, and AAM-PHC levels.</w:t>
      </w: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10.7 Review of Concurrent Audit Reports: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statutory auditor may review concurrent audit reports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and quarterly executive summaries, and consider material observations or findings while forming an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opinion on the overall internal control environment and truth and fair view of accounts/financial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statements.</w:t>
      </w: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10.8 Refund of SNA Account Balances: After implementation of SNA-SPARSH under NHM and PM-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ABHIM, the State to ensure that any erstwhile SNA account balances are refunded to the Consolidated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Fund of India, in accordance with DoE guidelines dated 16 January 2024.</w:t>
      </w: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10.9 Compliance with DoE Guidelines: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auditor may review the State’s compliance with all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guidelines issued by the DoE with respect to the implementation of NHM and PM-ABHIM.</w:t>
      </w: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36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10.10. Reconciliation of Expenditures: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statutory auditor to reconcile the Financial Monitoring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Report (FMR) expenditure with SNA-SPARSH expenditure to ensure accuracy and completeness of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financial reporting.</w:t>
      </w:r>
    </w:p>
    <w:p>
      <w:pPr>
        <w:jc w:val="both"/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11. Project Financial Statements:</w:t>
      </w:r>
      <w:r>
        <w:rPr>
          <w:b w:val="1"/>
          <w:sz w:val="27"/>
          <w:szCs w:val="27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 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format of the Project Financial Statements (PFS) and relevant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schedules, consolidating all programmes, is provided at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APPENDIX A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– Format of Financial Statements,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and is also available on the MoHFW website at </w:t>
      </w:r>
      <w:r>
        <w:rPr>
          <w:i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>www.nhm.gov.in.</w:t>
      </w:r>
    </w:p>
    <w:p>
      <w:pPr>
        <w:jc w:val="both"/>
        <w:spacing w:lineRule="auto" w:line="275"/>
        <w:rPr>
          <w:b w:val="1"/>
          <w:sz w:val="27"/>
          <w:szCs w:val="27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Project Financial Statements, prepared at the State Health Society (SHS), District Health Society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(DHS), and Consolidated State level, to include the following: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left="426" w:firstLine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11.1 Audit Opinion:</w:t>
      </w: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As per APPENDIX C.</w:t>
      </w:r>
    </w:p>
    <w:p>
      <w:pPr>
        <w:jc w:val="both"/>
        <w:spacing w:lineRule="auto" w:line="275"/>
        <w:ind w:left="426" w:firstLine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11.2 Balance Sheet: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Showing accumulated project funds, balances, other assets, and liabilities (if any).</w:t>
      </w:r>
    </w:p>
    <w:p>
      <w:pPr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11.3 Income &amp; Expenditure Account: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For the year ending 31 March 2026.</w:t>
      </w:r>
    </w:p>
    <w:p>
      <w:pPr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</w:p>
    <w:p>
      <w:pPr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11.4 Receipt &amp; Payment Account: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For the year ending 31 March 2026.</w:t>
      </w:r>
    </w:p>
    <w:p>
      <w:pPr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</w:p>
    <w:p>
      <w:pPr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11.5 Other Schedules to the Balance Sheet: </w:t>
      </w:r>
    </w:p>
    <w:p>
      <w:pPr>
        <w:pStyle w:val="PO26"/>
        <w:numPr>
          <w:numId w:val="8"/>
          <w:ilvl w:val="0"/>
        </w:numPr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Statement of Fixed Assets (as a schedule).</w:t>
      </w:r>
    </w:p>
    <w:p>
      <w:pPr>
        <w:pStyle w:val="PO26"/>
        <w:numPr>
          <w:numId w:val="8"/>
          <w:ilvl w:val="0"/>
        </w:numPr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Schedule of Loans and Advances (with age-wise analysis).</w:t>
      </w:r>
    </w:p>
    <w:p>
      <w:pPr>
        <w:pStyle w:val="PO26"/>
        <w:numPr>
          <w:numId w:val="8"/>
          <w:ilvl w:val="0"/>
        </w:numPr>
        <w:spacing w:lineRule="auto" w:line="275"/>
        <w:ind w:left="993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Programme-wise Statement of Expenditure.</w:t>
      </w:r>
    </w:p>
    <w:p>
      <w:pPr>
        <w:pStyle w:val="PO26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</w:p>
    <w:p>
      <w:pPr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11.6 Notes on Accounts: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Accounting policies followed in the preparation of accounts for SHSs and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DHSs.Any other significant observations of the auditor.</w:t>
      </w:r>
    </w:p>
    <w:p>
      <w:pPr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11.7 Auditor’s Observations: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Significant observations, including internal control weaknesses for each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programme, specifying the institution concerned to facilitate follow-up action.</w:t>
      </w: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11.8 Certification of Fund Transfers: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Auditor to certify the delay status of funds transferred from State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Treasury to SNA account of SHS for FY 2024-25 and 2025-26, as per the prescribed format (Appendix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E-1 and E-2).</w:t>
      </w: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11.9 Interest on Delayed Transfers: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Auditor to disclose whether the State has received any interest on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delayed transfer of funds from the State Treasury to the SNA account of SHS, as per Ministry of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Finance letters dated 18/19 December 2024.</w:t>
      </w: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11.10 Lapse of Drawing Limits: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Auditor to specify any lapse of drawing limits against the mother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sanction issued by the Ministry.</w:t>
      </w:r>
    </w:p>
    <w:p>
      <w:pPr>
        <w:jc w:val="both"/>
        <w:spacing w:lineRule="auto" w:line="275"/>
        <w:ind w:left="426" w:firstLine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11.11 Comparison with FMR Expenditure: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Auditor to compare audited expenditure with expenditure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reported in the FMR for 2025-26, highlighting reasons for variations.</w:t>
      </w: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11.12 Utilization Certificates (UCs):  </w:t>
      </w:r>
    </w:p>
    <w:p>
      <w:pPr>
        <w:pStyle w:val="PO26"/>
        <w:numPr>
          <w:numId w:val="9"/>
          <w:ilvl w:val="0"/>
        </w:numPr>
        <w:jc w:val="both"/>
        <w:spacing w:lineRule="auto" w:line="275"/>
        <w:ind w:left="851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Sanction-wise UCs as per Form 12-C of GFR 2017 (amended time to time), reconciled with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the Income &amp; Expenditure account and capitalized fixed asset expenditures.</w:t>
      </w:r>
    </w:p>
    <w:p>
      <w:pPr>
        <w:pStyle w:val="PO26"/>
        <w:numPr>
          <w:numId w:val="9"/>
          <w:ilvl w:val="0"/>
        </w:numPr>
        <w:jc w:val="both"/>
        <w:spacing w:lineRule="auto" w:line="275"/>
        <w:ind w:left="851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Separate UC for State share contribution.</w:t>
      </w:r>
    </w:p>
    <w:p>
      <w:pPr>
        <w:pStyle w:val="PO26"/>
        <w:numPr>
          <w:numId w:val="9"/>
          <w:ilvl w:val="0"/>
        </w:numPr>
        <w:jc w:val="both"/>
        <w:spacing w:lineRule="auto" w:line="275"/>
        <w:ind w:left="851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Separate UCs for Emergency COVID-19 Response Packages (ECRP-I &amp; ECRP-II) and PM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>-ABHIM.</w:t>
      </w:r>
    </w:p>
    <w:p>
      <w:pPr>
        <w:pStyle w:val="PO26"/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11.13 Action Taken Report: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Auditor to review and report on action taken on previous year’s audit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>observations.</w:t>
      </w: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11.14 Reconciliation of FMR Expenditures: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Auditor to reconcile FMR expenditures of the last quarter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(31 March 2026) with audited annual financial statements, identify variances, and provide reasons.</w:t>
      </w: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11.15 Management Representation: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DHS and SHS management should sign the financial statements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and provide written acknowledgment of their responsibility for preparation and fair presentation of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accounts, affirming that project funds were expended as intended.</w:t>
      </w: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11.16 Separate Chapter for COVID-19 Emergency Response: A dedicated chapter for ECRP-I to be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included (Appendix F). Funds under ECRP-I are 100% centrally funded.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/>
        </w:rPr>
        <w:t xml:space="preserve">Release of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  funds under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ECRP-II is as per the approved Centre-State funding under NHM.</w:t>
      </w:r>
    </w:p>
    <w:p>
      <w:pPr>
        <w:jc w:val="both"/>
        <w:spacing w:lineRule="auto" w:line="275"/>
        <w:ind w:left="426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</w:p>
    <w:p>
      <w:pPr>
        <w:jc w:val="both"/>
        <w:spacing w:lineRule="auto" w:line="275"/>
        <w:ind w:left="426" w:firstLine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11.17 Separate Chapter for PM-ABHIM: A dedicated chapter for PM-ABHIM to be included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 w:val="en-IN"/>
        </w:rPr>
        <w:t xml:space="preserve">(Appendix G).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bookmarkStart w:id="2" w:name="page8"/>
      <w:bookmarkEnd w:id="2"/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12. Financial Management Reports (FMR):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In addition to forming an opinion on the financial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statements, the auditor is required to audit the last quarter FMR (quarter ending March, 2026) submitted to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MoHFW. The auditor to apply such tests as deemed necessary to satisfy the audit objectives. Any ineligible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expenditures identified in the financial reports must be separately noted. The audit report to include a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separate paragraph commenting on:</w:t>
      </w:r>
    </w:p>
    <w:p>
      <w:pPr>
        <w:pStyle w:val="PO26"/>
        <w:numPr>
          <w:numId w:val="10"/>
          <w:ilvl w:val="0"/>
        </w:num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accuracy and propriety of expenditures included in the financial statements and FMRs.</w:t>
      </w:r>
    </w:p>
    <w:p>
      <w:pPr>
        <w:pStyle w:val="PO26"/>
        <w:numPr>
          <w:numId w:val="10"/>
          <w:ilvl w:val="0"/>
        </w:num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whether procurement procedures have been followed.</w:t>
      </w:r>
    </w:p>
    <w:p>
      <w:pPr>
        <w:pStyle w:val="PO26"/>
        <w:numPr>
          <w:numId w:val="10"/>
          <w:ilvl w:val="0"/>
        </w:num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extent to which the GoI can rely on the quarterly FMRs.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In addition to the audit report, the auditor to prepare a Management Letter as per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Appendix D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summarizing observations on internal control issues not materially affecting the financial statement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opinion. </w:t>
      </w:r>
    </w:p>
    <w:p>
      <w:pPr>
        <w:jc w:val="both"/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Management Letter to include:</w:t>
      </w:r>
    </w:p>
    <w:p>
      <w:pPr>
        <w:jc w:val="both"/>
        <w:spacing w:lineRule="auto" w:line="275"/>
        <w:ind w:left="567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a) Comments and observations on the accounting records, systems, and internal controls examined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during the audit.</w:t>
      </w:r>
    </w:p>
    <w:p>
      <w:pPr>
        <w:jc w:val="both"/>
        <w:spacing w:lineRule="auto" w:line="275"/>
        <w:ind w:left="567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b) Identification of specific deficiencies and weaknesses in the system and controls, with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recommendations for improvement.</w:t>
      </w:r>
    </w:p>
    <w:p>
      <w:pPr>
        <w:jc w:val="both"/>
        <w:spacing w:lineRule="auto" w:line="275"/>
        <w:ind w:left="567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c) Reporting on the level of compliance with financial internal controls.</w:t>
      </w:r>
    </w:p>
    <w:p>
      <w:pPr>
        <w:jc w:val="both"/>
        <w:spacing w:lineRule="auto" w:line="275"/>
        <w:ind w:left="567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d) Reporting of procurement not carried out in accordance with the procurement manual/guidelines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of the State for individual programmes (e.g., RCH-II, NTEP, IDSP, etc.).</w:t>
      </w:r>
    </w:p>
    <w:p>
      <w:pPr>
        <w:jc w:val="both"/>
        <w:spacing w:lineRule="auto" w:line="275"/>
        <w:ind w:left="567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e) Communication of matters that might have significant impact on project implementation.</w:t>
      </w:r>
    </w:p>
    <w:p>
      <w:pPr>
        <w:jc w:val="both"/>
        <w:spacing w:lineRule="auto" w:line="275"/>
        <w:ind w:left="567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f) Bringing to the attention of the Society any other pertinent matters observed during the audit.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observations in the Management Letter must include implications of the observations, Auditor’s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recommendations, and Management comments/responses, which must be obtained and reported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along with the Audit Report.</w:t>
      </w:r>
    </w:p>
    <w:p>
      <w:pPr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13. Reporting and Timing:</w:t>
      </w:r>
    </w:p>
    <w:p>
      <w:pPr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13.1 Submission of Audit Report:</w:t>
      </w:r>
    </w:p>
    <w:p>
      <w:pPr>
        <w:pStyle w:val="PO26"/>
        <w:numPr>
          <w:numId w:val="12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final Audit Report to be submitted by 31 July 2026 (i.e., within four months of the end of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financial year) to the SHS.</w:t>
      </w:r>
    </w:p>
    <w:p>
      <w:pPr>
        <w:pStyle w:val="PO26"/>
        <w:numPr>
          <w:numId w:val="12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SHS to promptly forward three spiral-bound copies and a soft copy in MS Excel/MS Word, as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well as a scanned PDF, along with the final Utilization Certificates (UCs) signed by both the State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and Auditor, to the GoI, including any comments from the State.</w:t>
      </w:r>
    </w:p>
    <w:p>
      <w:pPr>
        <w:pStyle w:val="PO26"/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13.2 Multiple Auditors for District Groups:</w:t>
      </w:r>
    </w:p>
    <w:p>
      <w:pPr>
        <w:pStyle w:val="PO26"/>
        <w:numPr>
          <w:numId w:val="13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If multiple auditors are appointed for a group of districts, each auditor shall issue a separate audit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report for each district, including a soft copy (Word/Excel).</w:t>
      </w:r>
    </w:p>
    <w:p>
      <w:pPr>
        <w:pStyle w:val="PO26"/>
        <w:numPr>
          <w:numId w:val="13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Audit reports for all districts must be issued by 30 June 2026 to ensure the State consolidated report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is issued by 31 July 2026.</w:t>
      </w:r>
    </w:p>
    <w:p>
      <w:pPr>
        <w:pStyle w:val="PO26"/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13.3 Conditionality of Fund Release:</w:t>
      </w:r>
    </w:p>
    <w:p>
      <w:pPr>
        <w:pStyle w:val="PO26"/>
        <w:numPr>
          <w:numId w:val="14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Timely submission of the statutory audit report is a Record of Proceedings (ROP) condition for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release of funds to the State beyond 75% of cash allocation, ensuring smooth mission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implementation.</w:t>
      </w:r>
    </w:p>
    <w:p>
      <w:pPr>
        <w:pStyle w:val="PO26"/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13.4 Timelines for appointment of auditor and furnishing of record and reports:</w:t>
      </w:r>
    </w:p>
    <w:p>
      <w:pPr>
        <w:pStyle w:val="PO26"/>
        <w:numPr>
          <w:numId w:val="15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Complete the auditor appointment process by 25 April 2026, and submit details of the appointed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auditor, fees, and evaluation sheet to the Ministry by 5 May 2026. Timely provision of information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to the auditor must be strictly ensured.</w:t>
      </w:r>
    </w:p>
    <w:p>
      <w:pPr>
        <w:pStyle w:val="PO26"/>
        <w:numPr>
          <w:numId w:val="15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Ensure that cash books, ledgers, vouchers, other financial statements, and IFMIS/SPARSH reports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are ready at the time of auditor visits.</w:t>
      </w:r>
    </w:p>
    <w:p>
      <w:pPr>
        <w:pStyle w:val="PO26"/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13.5 Penal Provisions for Delay: </w:t>
      </w:r>
    </w:p>
    <w:p>
      <w:pPr>
        <w:pStyle w:val="PO26"/>
        <w:numPr>
          <w:numId w:val="16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If the auditor fails to submit the report on time despite all required information being provided,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State may deduct 5% per month from the audit fees.</w:t>
      </w:r>
    </w:p>
    <w:p>
      <w:pPr>
        <w:pStyle w:val="PO26"/>
        <w:numPr>
          <w:numId w:val="16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State to include a clause regarding this penalty in the auditor agreement.</w:t>
      </w:r>
    </w:p>
    <w:p>
      <w:pPr>
        <w:pStyle w:val="PO26"/>
        <w:numPr>
          <w:numId w:val="16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Exceptions: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Penalty may be waived by the Mission Director (NHM) in case of delays due to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unforeseen circumstances (e.g., floods, earthquakes, elections).</w:t>
      </w:r>
    </w:p>
    <w:p>
      <w:pPr>
        <w:pStyle w:val="PO26"/>
        <w:numPr>
          <w:numId w:val="16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Prior to imposing a penalty, the auditor must be given an opportunity to be heard.</w:t>
      </w:r>
    </w:p>
    <w:p>
      <w:pPr>
        <w:pStyle w:val="PO26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 w:before="120"/>
        <w:tabs>
          <w:tab w:val="left" w:pos="1045"/>
        </w:tabs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14. Additional Instructions to Auditors: </w:t>
      </w:r>
    </w:p>
    <w:p>
      <w:pPr>
        <w:pStyle w:val="PO26"/>
        <w:numPr>
          <w:numId w:val="17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Audit Report of the State Health Society (SHS) shall include audit of all transactions at both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State and District Health Society (DHS) levels.</w:t>
      </w:r>
    </w:p>
    <w:p>
      <w:pPr>
        <w:pStyle w:val="PO26"/>
        <w:numPr>
          <w:numId w:val="17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audit for the financial year will cover all components including Flexible Pool for RCH &amp; Health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System Strengthening, National Health Programmes, Urban Health Mission, PM-ABHIM, and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ECRP-I &amp; II.</w:t>
      </w:r>
    </w:p>
    <w:p>
      <w:pPr>
        <w:pStyle w:val="PO26"/>
        <w:numPr>
          <w:numId w:val="17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appointed auditor shall issue a Consolidated Audit Report for the State as a whole and for each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District, covering all programmes under NHM and PM-ABHIM.</w:t>
      </w:r>
    </w:p>
    <w:p>
      <w:pPr>
        <w:pStyle w:val="PO26"/>
        <w:numPr>
          <w:numId w:val="17"/>
          <w:ilvl w:val="0"/>
        </w:numPr>
        <w:jc w:val="both"/>
        <w:spacing w:lineRule="auto" w:line="275" w:before="120"/>
        <w:tabs>
          <w:tab w:val="left" w:pos="1045"/>
        </w:tabs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Submission of Reports:</w:t>
      </w:r>
    </w:p>
    <w:p>
      <w:pPr>
        <w:pStyle w:val="PO26"/>
        <w:numPr>
          <w:numId w:val="18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All State-level reports shall be issued in three sets (two sets for MoHFW and one set for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State).</w:t>
      </w:r>
    </w:p>
    <w:p>
      <w:pPr>
        <w:pStyle w:val="PO26"/>
        <w:numPr>
          <w:numId w:val="18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Consolidated Report shall be sent to NHM-Finance Division, and individual programme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reports, along with Utilization Certificates (UCs), shall be sent to the respective programme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divisions of the Ministry.</w:t>
      </w:r>
    </w:p>
    <w:p>
      <w:pPr>
        <w:pStyle w:val="PO26"/>
        <w:numPr>
          <w:numId w:val="19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Financial Statements and Schedules:</w:t>
      </w:r>
    </w:p>
    <w:p>
      <w:pPr>
        <w:pStyle w:val="PO26"/>
        <w:numPr>
          <w:numId w:val="20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Shall be prepared in accordance with the format provided by the MoHFW, GoI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(APPENDIX-A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– Format of Financial Statements).</w:t>
      </w:r>
    </w:p>
    <w:p>
      <w:pPr>
        <w:pStyle w:val="PO26"/>
        <w:numPr>
          <w:numId w:val="20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Specific programme requirements, as per the agreements with the GoI and Development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Partners, shall also be incorporated in separate schedules for the respective programmes.</w:t>
      </w:r>
    </w:p>
    <w:p>
      <w:pPr>
        <w:pStyle w:val="PO26"/>
        <w:numPr>
          <w:numId w:val="21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Utilization Certificates (UCs):</w:t>
      </w:r>
    </w:p>
    <w:p>
      <w:pPr>
        <w:pStyle w:val="PO26"/>
        <w:numPr>
          <w:numId w:val="22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Auditor shall certify all UCs in the prescribed format </w:t>
      </w:r>
      <w:r>
        <w:rPr>
          <w:i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(Form 12C of GFR, 2017 amended time to </w:t>
      </w:r>
      <w:r>
        <w:rPr>
          <w:i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time)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for NHM programmes.</w:t>
      </w:r>
    </w:p>
    <w:p>
      <w:pPr>
        <w:pStyle w:val="PO26"/>
        <w:numPr>
          <w:numId w:val="22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UCs shall be sanction-wise, and signed by ACS/Principal Secretary (Health)/Secretary (Health),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Mission Director, State Programme Officers, and the Auditor.</w:t>
      </w:r>
    </w:p>
    <w:p>
      <w:pPr>
        <w:pStyle w:val="PO26"/>
        <w:numPr>
          <w:numId w:val="23"/>
          <w:ilvl w:val="0"/>
        </w:numPr>
        <w:jc w:val="both"/>
        <w:spacing w:lineRule="auto" w:line="275" w:before="120"/>
        <w:tabs>
          <w:tab w:val="left" w:pos="1045"/>
        </w:tabs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auditor shall append the Checklist provided in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APPENDIX-B.</w:t>
      </w:r>
    </w:p>
    <w:p>
      <w:pPr>
        <w:pStyle w:val="PO26"/>
        <w:numPr>
          <w:numId w:val="23"/>
          <w:ilvl w:val="0"/>
        </w:numPr>
        <w:jc w:val="both"/>
        <w:spacing w:lineRule="auto" w:line="275" w:before="120"/>
        <w:tabs>
          <w:tab w:val="left" w:pos="1045"/>
        </w:tabs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Financial Management Reports (FMRs):</w:t>
      </w:r>
    </w:p>
    <w:p>
      <w:pPr>
        <w:pStyle w:val="PO26"/>
        <w:numPr>
          <w:numId w:val="24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Auditor shall certify the FMR based on audited expenditures for all line activities of the last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quarter (quarter ending March 2026), showing cumulative and head-wise expenditure for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full financial year.</w:t>
      </w:r>
    </w:p>
    <w:p>
      <w:pPr>
        <w:pStyle w:val="PO26"/>
        <w:numPr>
          <w:numId w:val="24"/>
          <w:ilvl w:val="0"/>
        </w:numPr>
        <w:jc w:val="both"/>
        <w:spacing w:lineRule="auto" w:line="275" w:before="120"/>
        <w:tabs>
          <w:tab w:val="left" w:pos="1045"/>
        </w:tabs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Auditor shall certify a comparative statement showing expenditure as per FMR and audited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accounts, documenting reasons for significant variances (e.g., more than 15% at each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component level).</w:t>
      </w:r>
    </w:p>
    <w:p>
      <w:pPr>
        <w:pStyle w:val="PO26"/>
        <w:numPr>
          <w:numId w:val="25"/>
          <w:ilvl w:val="0"/>
        </w:numPr>
        <w:jc w:val="both"/>
        <w:spacing w:lineRule="auto" w:line="275" w:before="120"/>
        <w:tabs>
          <w:tab w:val="left" w:pos="1045"/>
        </w:tabs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Management Letter: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Shall be prepared as per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APPENDIX-D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, along with comments/replies from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Mission Director, SHS.</w:t>
      </w:r>
    </w:p>
    <w:p>
      <w:pPr>
        <w:pStyle w:val="PO26"/>
        <w:numPr>
          <w:numId w:val="25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Auditor to comment on the compliance with DoE guidelines for the implementation of Centrally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Sponsored Schemes (CSS) by States/UTs during FY 2025-26, specifically for NHM and PM-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ABHIM.</w:t>
      </w:r>
    </w:p>
    <w:p>
      <w:pPr>
        <w:pStyle w:val="PO26"/>
        <w:numPr>
          <w:numId w:val="25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Auditor to examine the status of timely DBTs under schemes such as JSY, JSSK, ASHA, Family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Planning, and Nikshay-NTEP through the APBS/SNA-SPARSH platform, and assess whether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internal controls are adequate to ensure these payments are evidence-based.</w:t>
      </w:r>
    </w:p>
    <w:p>
      <w:pPr>
        <w:pStyle w:val="PO26"/>
        <w:numPr>
          <w:numId w:val="25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Programme financial statements to disclose expenditures on:</w:t>
      </w:r>
    </w:p>
    <w:p>
      <w:pPr>
        <w:pStyle w:val="PO26"/>
        <w:numPr>
          <w:numId w:val="26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Procurement from non-ADB member countries, and</w:t>
      </w:r>
    </w:p>
    <w:p>
      <w:pPr>
        <w:pStyle w:val="PO26"/>
        <w:numPr>
          <w:numId w:val="26"/>
          <w:ilvl w:val="0"/>
        </w:numPr>
        <w:jc w:val="both"/>
        <w:spacing w:lineRule="auto" w:line="275" w:before="120"/>
        <w:tabs>
          <w:tab w:val="left" w:pos="1045"/>
        </w:tabs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New building construction for the 13 ADB-supported States under PM-ABHIM.</w:t>
      </w:r>
    </w:p>
    <w:p>
      <w:pPr>
        <w:pStyle w:val="PO26"/>
        <w:numPr>
          <w:numId w:val="27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Auditor to provide valuation and disclosure as per Indian Government Accounting Standard-2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(IGAS-2) for grants received in kind for the 13 ADB-supported States under PM-ABHIM.</w:t>
      </w:r>
    </w:p>
    <w:p>
      <w:pPr>
        <w:pStyle w:val="PO26"/>
        <w:numPr>
          <w:numId w:val="27"/>
          <w:ilvl w:val="0"/>
        </w:numPr>
        <w:jc w:val="both"/>
        <w:spacing w:lineRule="auto" w:line="275" w:before="120"/>
        <w:tabs>
          <w:tab w:val="left" w:pos="104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Auditor to ensure that the annual financial statements include a note stating: “These financial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statements were approved by [insert governing body] on [insert date]” for the 13 ADB-supported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States under PM-ABHIM.</w:t>
      </w:r>
    </w:p>
    <w:p>
      <w:pPr>
        <w:jc w:val="both"/>
        <w:spacing w:lineRule="auto" w:line="275"/>
        <w:tabs>
          <w:tab w:val="left" w:pos="425"/>
        </w:tabs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tabs>
          <w:tab w:val="left" w:pos="425"/>
        </w:tabs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15. </w:t>
      </w: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General Provisions and Guidelines for Submission of Proposals</w:t>
      </w:r>
    </w:p>
    <w:p>
      <w:pPr>
        <w:jc w:val="both"/>
        <w:spacing w:lineRule="auto" w:line="275"/>
        <w:tabs>
          <w:tab w:val="left" w:pos="425"/>
        </w:tabs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tabs>
          <w:tab w:val="left" w:pos="425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15.1 General Provision: </w:t>
      </w:r>
    </w:p>
    <w:p>
      <w:pPr>
        <w:jc w:val="both"/>
        <w:spacing w:lineRule="auto" w:line="275"/>
        <w:tabs>
          <w:tab w:val="left" w:pos="425"/>
        </w:tabs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numPr>
          <w:numId w:val="28"/>
          <w:ilvl w:val="0"/>
        </w:numPr>
        <w:jc w:val="both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State should ensure that the Auditor is appointed for all disease control programmes under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NHM and that the Uniform Accounting System is followed. Auditors must follow the latest formats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prescribed in the RFP.</w:t>
      </w:r>
    </w:p>
    <w:p>
      <w:pPr>
        <w:pStyle w:val="PO26"/>
        <w:jc w:val="both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numPr>
          <w:numId w:val="28"/>
          <w:ilvl w:val="0"/>
        </w:numPr>
        <w:jc w:val="both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auditor shall be given access to all information relevant for the audit, including but not limited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to:</w:t>
      </w:r>
    </w:p>
    <w:p>
      <w:pPr>
        <w:pStyle w:val="PO26"/>
        <w:numPr>
          <w:numId w:val="29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Financial and procurement records, SPIPs, AWPs.</w:t>
      </w:r>
    </w:p>
    <w:p>
      <w:pPr>
        <w:pStyle w:val="PO26"/>
        <w:numPr>
          <w:numId w:val="29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MoU/LOU signed between MoHFW and the State/SHS.</w:t>
      </w:r>
    </w:p>
    <w:p>
      <w:pPr>
        <w:pStyle w:val="PO26"/>
        <w:numPr>
          <w:numId w:val="29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Instructions issued by MoHFW regarding scheme guidelines (e.g., JSY, JSSK).</w:t>
      </w:r>
    </w:p>
    <w:p>
      <w:pPr>
        <w:pStyle w:val="PO26"/>
        <w:numPr>
          <w:numId w:val="29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Administrative orders issued by SHS/DOHFW/Directorate of Health, including cost norms.</w:t>
      </w:r>
    </w:p>
    <w:p>
      <w:pPr>
        <w:pStyle w:val="PO26"/>
        <w:numPr>
          <w:numId w:val="29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For programmes financed by Development Partners, copies of legal agreements and project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appraisal documents shall be made available.</w:t>
      </w:r>
    </w:p>
    <w:p>
      <w:pPr>
        <w:jc w:val="both"/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15.2 Guidelines for Submitting the Proposals:</w:t>
      </w:r>
    </w:p>
    <w:p>
      <w:pPr>
        <w:pStyle w:val="PO26"/>
        <w:numPr>
          <w:numId w:val="31"/>
          <w:ilvl w:val="0"/>
        </w:numPr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Sealing and Labeling of Proposals:</w:t>
      </w:r>
    </w:p>
    <w:p>
      <w:pPr>
        <w:numPr>
          <w:numId w:val="30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bookmarkStart w:id="3" w:name="page13"/>
      <w:bookmarkEnd w:id="3"/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Original and copies of the Technical Proposal shall be placed in a sealed envelope clearly marked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“TECHNICAL PROPOSAL”.</w:t>
      </w:r>
    </w:p>
    <w:p>
      <w:pPr>
        <w:numPr>
          <w:numId w:val="30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The Financial Proposal to be placed in a separate sealed envelope clearly marked “FINANCIAL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PROPOSAL”, followed by the name of the assignment and the warning: “DO NOT OPEN WITH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THE TECHNICAL PROPOSAL.”</w:t>
      </w:r>
    </w:p>
    <w:p>
      <w:pPr>
        <w:numPr>
          <w:numId w:val="30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Both envelopes to be placed in an outer envelope, sealed, and marked with the submission address,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reference number, and title of the assignment, with the instruction: “DO NOT OPEN, EXCEPT IN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PRESENCE OF THE OFFICIAL APPOINTED.”</w:t>
      </w:r>
    </w:p>
    <w:p>
      <w:pPr>
        <w:numPr>
          <w:numId w:val="30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Failure to comply may result in misplacement, loss, or premature opening, which could constitute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grounds for rejection of the proposal.</w:t>
      </w:r>
    </w:p>
    <w:p>
      <w:pPr>
        <w:numPr>
          <w:numId w:val="30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000000"/>
          <w:rFonts w:ascii="Times New Roman" w:eastAsia="Times New Roman" w:hAnsi="Times New Roman" w:cs="Times New Roman"/>
        </w:rPr>
        <w:t xml:space="preserve">If the Financial Proposal is not submitted in a separate sealed envelope duly marked as indicated </w:t>
      </w:r>
      <w:r>
        <w:rPr>
          <w:sz w:val="24"/>
          <w:szCs w:val="24"/>
          <w:shd w:val="clear" w:color="000000"/>
          <w:rFonts w:ascii="Times New Roman" w:eastAsia="Times New Roman" w:hAnsi="Times New Roman" w:cs="Times New Roman"/>
        </w:rPr>
        <w:t xml:space="preserve">above, this shall constitute ground for declaring the Proposal non-responsive/ invalid.</w:t>
      </w:r>
    </w:p>
    <w:p>
      <w:pPr>
        <w:pStyle w:val="PO26"/>
        <w:numPr>
          <w:numId w:val="31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Single Proposal/Multiple Firms: 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In case the State decides to appoint more than one CA firm, a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bidding firm may submit proposals for the State as a whole or for one group of districts.</w:t>
      </w:r>
    </w:p>
    <w:p>
      <w:pPr>
        <w:pStyle w:val="PO26"/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</w:p>
    <w:p>
      <w:pPr>
        <w:pStyle w:val="PO26"/>
        <w:numPr>
          <w:numId w:val="31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Agencies must comply with the Technical Specifications, General Conditions, and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formats/requirements for Technical and Financial Proposals.</w:t>
      </w:r>
    </w:p>
    <w:p>
      <w:pPr>
        <w:pStyle w:val="PO26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</w:p>
    <w:p>
      <w:pPr>
        <w:pStyle w:val="PO26"/>
        <w:numPr>
          <w:numId w:val="31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Technical Proposals to be marked “ORIGINAL” or “COPY” as appropriate; discrepancies between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copies and original to be resolved in favor of the original.</w:t>
      </w:r>
    </w:p>
    <w:p>
      <w:pPr>
        <w:pStyle w:val="PO26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</w:p>
    <w:p>
      <w:pPr>
        <w:pStyle w:val="PO26"/>
        <w:numPr>
          <w:numId w:val="31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Validity of Financial Proposal: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 Financial proposals must remain valid for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6 months from the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date of submission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>.</w:t>
      </w:r>
    </w:p>
    <w:p>
      <w:pPr>
        <w:pStyle w:val="PO26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</w:p>
    <w:p>
      <w:pPr>
        <w:pStyle w:val="PO26"/>
        <w:numPr>
          <w:numId w:val="31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>Authorization: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 Each page, form, annexure, and appendix of the Technical and Financial Proposal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must be signed by the authorized signatory.</w:t>
      </w:r>
    </w:p>
    <w:p>
      <w:pPr>
        <w:pStyle w:val="PO26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</w:p>
    <w:p>
      <w:pPr>
        <w:pStyle w:val="PO26"/>
        <w:numPr>
          <w:numId w:val="31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All blank spaces in the Financial Proposal must be completely filled, either typed or written in ink.</w:t>
      </w:r>
    </w:p>
    <w:p>
      <w:pPr>
        <w:pStyle w:val="PO26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</w:p>
    <w:p>
      <w:pPr>
        <w:pStyle w:val="PO26"/>
        <w:numPr>
          <w:numId w:val="31"/>
          <w:ilvl w:val="0"/>
        </w:numPr>
        <w:jc w:val="both"/>
        <w:spacing w:before="100" w:beforeAutospacing="1" w:after="100" w:afterAutospacing="1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The State Health Society (SHS) reserves the right to accept or reject any proposal without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explanation and may change evaluation criteria in the interest of the organization.</w:t>
      </w:r>
    </w:p>
    <w:p>
      <w:pPr>
        <w:pStyle w:val="PO26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</w:p>
    <w:p>
      <w:pPr>
        <w:pStyle w:val="PO26"/>
        <w:numPr>
          <w:numId w:val="31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If the required team composition is not deployed, the State may take appropriate action, including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blacklisting, after keeping the Ministry informed.</w:t>
      </w:r>
    </w:p>
    <w:p>
      <w:pPr>
        <w:pStyle w:val="PO26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</w:p>
    <w:p>
      <w:pPr>
        <w:pStyle w:val="PO26"/>
        <w:numPr>
          <w:numId w:val="31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A firm cannot undertake audits of more than three States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/>
        </w:rPr>
        <w:t>/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/>
        </w:rPr>
        <w:t>UTs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 in a year. Assignments must be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accepted chronologically on a first-come, first-served basis. If a firm is appointed for more than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three States, it must withdraw to comply with the limit. </w:t>
      </w:r>
      <w:r>
        <w:rPr>
          <w:sz w:val="24"/>
          <w:szCs w:val="24"/>
          <w:shd w:val="clear" w:color="000000"/>
          <w:rFonts w:ascii="Times New Roman" w:eastAsia="Times New Roman" w:hAnsi="Times New Roman" w:cs="Times New Roman"/>
        </w:rPr>
        <w:t xml:space="preserve">As a State may opt to appoint multiple </w:t>
      </w:r>
      <w:r>
        <w:rPr>
          <w:sz w:val="24"/>
          <w:szCs w:val="24"/>
          <w:shd w:val="clear" w:color="000000"/>
          <w:rFonts w:ascii="Times New Roman" w:eastAsia="Times New Roman" w:hAnsi="Times New Roman" w:cs="Times New Roman"/>
        </w:rPr>
        <w:t xml:space="preserve">auditors, therefore, if a firm appointed for audit of a group of district in any State then for the </w:t>
      </w:r>
      <w:r>
        <w:rPr>
          <w:sz w:val="24"/>
          <w:szCs w:val="24"/>
          <w:shd w:val="clear" w:color="000000"/>
          <w:rFonts w:ascii="Times New Roman" w:eastAsia="Times New Roman" w:hAnsi="Times New Roman" w:cs="Times New Roman"/>
        </w:rPr>
        <w:t xml:space="preserve">purpose of ceiling of 3 States, group of Districts shall be taken as a State.</w:t>
      </w:r>
    </w:p>
    <w:p>
      <w:pPr>
        <w:pStyle w:val="PO26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</w:p>
    <w:p>
      <w:pPr>
        <w:pStyle w:val="PO26"/>
        <w:numPr>
          <w:numId w:val="31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Firms must give an undertaking that all team members are proficient in the State’s official language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(oral and written) and have a Head Office/Branch Office in the allotted State (Form U). For NE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States/UTs with limited availability, proposals from neighbouring States may be considered.</w:t>
      </w:r>
    </w:p>
    <w:p>
      <w:pPr>
        <w:pStyle w:val="PO26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</w:p>
    <w:p>
      <w:pPr>
        <w:pStyle w:val="PO26"/>
        <w:numPr>
          <w:numId w:val="31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Firms must depute an appropriate number of teams to ensure timely submission and high-quality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>audit.</w:t>
      </w:r>
    </w:p>
    <w:p>
      <w:pPr>
        <w:pStyle w:val="PO26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</w:p>
    <w:p>
      <w:pPr>
        <w:pStyle w:val="PO26"/>
        <w:numPr>
          <w:numId w:val="31"/>
          <w:ilvl w:val="0"/>
        </w:numPr>
        <w:jc w:val="both"/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Each audit team must be headed by a qualified Chartered Accountant.</w:t>
      </w:r>
    </w:p>
    <w:p>
      <w:pPr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Components of Technical and Financial Proposal:</w:t>
      </w:r>
    </w:p>
    <w:p>
      <w:pPr>
        <w:pStyle w:val="PO26"/>
        <w:numPr>
          <w:numId w:val="32"/>
          <w:ilvl w:val="0"/>
        </w:numPr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Letter of Transmittal: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Form T-1</w:t>
      </w:r>
    </w:p>
    <w:p>
      <w:pPr>
        <w:pStyle w:val="PO26"/>
        <w:numPr>
          <w:numId w:val="32"/>
          <w:ilvl w:val="0"/>
        </w:numPr>
        <w:spacing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Technical Proposal Format: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Form T-2</w:t>
      </w:r>
    </w:p>
    <w:p>
      <w:pPr>
        <w:pStyle w:val="PO26"/>
        <w:numPr>
          <w:numId w:val="32"/>
          <w:ilvl w:val="0"/>
        </w:numPr>
        <w:spacing w:before="100" w:beforeAutospacing="1" w:after="100" w:afterAutospacing="1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Financial Bid Format: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Form F-1</w:t>
      </w:r>
    </w:p>
    <w:p>
      <w:pPr>
        <w:pStyle w:val="PO26"/>
        <w:numPr>
          <w:numId w:val="32"/>
          <w:ilvl w:val="0"/>
        </w:numPr>
        <w:spacing w:before="100" w:beforeAutospacing="1" w:after="100" w:afterAutospacing="1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Undertaking of HO/Branch Office in State: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en-IN"/>
        </w:rPr>
        <w:t xml:space="preserve">Form U</w:t>
      </w:r>
    </w:p>
    <w:p>
      <w:pPr>
        <w:jc w:val="right"/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right"/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right"/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right"/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right"/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right"/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Form T-1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ind w:left="3600" w:firstLine="0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Letter of Transmittal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To,</w:t>
      </w:r>
    </w:p>
    <w:p>
      <w:pP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ind w:left="72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Mission Director,</w:t>
      </w:r>
    </w:p>
    <w:p>
      <w:pPr>
        <w:ind w:left="72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State Health Society,</w:t>
      </w:r>
    </w:p>
    <w:p>
      <w:pPr>
        <w:ind w:left="72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Name &amp; Address of State</w:t>
      </w:r>
    </w:p>
    <w:p>
      <w:pP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Subject: Submission of Proposal for Statutory Audit of [Name of State Health Society]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Sir,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ind w:firstLine="72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We, the undersigned, hereby offer to provide audit services for </w:t>
      </w:r>
      <w:r>
        <w:rPr>
          <w:i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[Name of State Health Society]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in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accordance with your Request for Proposal (RFP) dated </w:t>
      </w:r>
      <w:r>
        <w:rPr>
          <w:i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[Insert Date].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We are submitting our proposal,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including details about our firm and the proposed audit fees.</w:t>
      </w:r>
    </w:p>
    <w:p>
      <w:pPr>
        <w:jc w:val="both"/>
        <w:spacing w:lineRule="auto" w:line="275"/>
        <w:ind w:firstLine="72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2.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ab/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We hereby declare that all information and statements provided in this proposal are true and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accurate, and we understand that any misrepresentation may lead to disqualification.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3.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ab/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We confirm that the fees quoted by us are valid for six months from the date of submission and that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this proposal will remain binding upon us and may be accepted at any time before the expiry date.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4.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ab/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We affirm that the prices quoted have been arrived at independently, without consultation,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communication, agreement, or understanding with any competitor for the purpose of restricting competition.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5.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ab/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We also agree to bear all costs incurred in connection with the preparation and submission of this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proposal and any further pre-contract costs.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6.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ab/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We understand that the State Health Society </w:t>
      </w:r>
      <w:r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[Insert Name of State]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is not bound to accept the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lowest or any proposal, and is not required to give any reason for the award or rejection of any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proposal.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7.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ab/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 confirm that I have the authority of </w:t>
      </w:r>
      <w:r>
        <w:rPr>
          <w:i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[Insert Name of the C.A. Firm]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to submit this proposal and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negotiate on its behalf.</w:t>
      </w:r>
    </w:p>
    <w:p>
      <w:pPr>
        <w:jc w:val="right"/>
        <w:spacing w:lineRule="auto" w:line="275"/>
        <w:ind w:left="780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Yours faithfully,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right"/>
        <w:spacing w:lineRule="auto" w:line="275"/>
        <w:ind w:left="7280" w:firstLine="0"/>
        <w:tabs>
          <w:tab w:val="left" w:pos="9300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(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ab/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)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10006" w:type="dxa"/>
        <w:tblInd w:w="91" w:type="dxa"/>
        <w:tblLook w:val="0004A0" w:firstRow="1" w:lastRow="0" w:firstColumn="1" w:lastColumn="0" w:noHBand="0" w:noVBand="1"/>
        <w:tblLayout w:type="fixed"/>
      </w:tblPr>
      <w:tblGrid>
        <w:gridCol w:w="931"/>
        <w:gridCol w:w="4277"/>
        <w:gridCol w:w="4798"/>
      </w:tblGrid>
      <w:tr>
        <w:trPr>
          <w:trHeight w:hRule="atleast" w:val="314"/>
        </w:trPr>
        <w:tc>
          <w:tcPr>
            <w:tcW w:type="dxa" w:w="10006"/>
            <w:tcMar>
              <w:left w:w="108" w:type="dxa"/>
              <w:right w:w="108" w:type="dxa"/>
            </w:tcMar>
            <w:vAlign w:val="center"/>
            <w:gridSpan w:val="3"/>
            <w:shd w:val="clear" w:color="000000"/>
          </w:tcPr>
          <w:p>
            <w:pPr>
              <w:jc w:val="right"/>
              <w:spacing w:lineRule="auto" w:line="275"/>
              <w:rPr>
                <w:b w:val="1"/>
                <w:color w:val="000000"/>
                <w:sz w:val="24"/>
                <w:szCs w:val="24"/>
                <w:u w:val="single"/>
                <w:shd w:val="clear" w:color="auto" w:fill="auto"/>
                <w:rFonts w:ascii="Times New Roman" w:eastAsia="Times New Roman" w:hAnsi="Times New Roman" w:cs="Times New Roman"/>
              </w:rPr>
            </w:pPr>
            <w:bookmarkStart w:id="4" w:name="page14"/>
            <w:bookmarkEnd w:id="4"/>
            <w:r>
              <w:rPr>
                <w:b w:val="1"/>
                <w:color w:val="000000"/>
                <w:sz w:val="24"/>
                <w:szCs w:val="24"/>
                <w:u w:val="single"/>
                <w:shd w:val="clear" w:color="auto" w:fill="auto"/>
                <w:rFonts w:ascii="Times New Roman" w:eastAsia="Times New Roman" w:hAnsi="Times New Roman" w:cs="Times New Roman"/>
              </w:rPr>
              <w:t xml:space="preserve">Form T-2</w:t>
            </w:r>
          </w:p>
        </w:tc>
      </w:tr>
      <w:tr>
        <w:trPr>
          <w:trHeight w:hRule="atleast" w:val="518"/>
        </w:trPr>
        <w:tc>
          <w:tcPr>
            <w:tcW w:type="dxa" w:w="10006"/>
            <w:tcMar>
              <w:left w:w="108" w:type="dxa"/>
              <w:right w:w="108" w:type="dxa"/>
            </w:tcMar>
            <w:vAlign w:val="center"/>
            <w:gridSpan w:val="3"/>
            <w:shd w:val="clear" w:color="000000"/>
          </w:tcPr>
          <w:p>
            <w:pPr>
              <w:jc w:val="center"/>
              <w:spacing w:lineRule="auto" w:line="275"/>
              <w:rPr>
                <w:b w:val="1"/>
                <w:color w:val="000000"/>
                <w:sz w:val="24"/>
                <w:szCs w:val="24"/>
                <w:u w:val="single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color w:val="000000"/>
                <w:sz w:val="24"/>
                <w:szCs w:val="24"/>
                <w:u w:val="single"/>
                <w:shd w:val="clear" w:color="auto" w:fill="auto"/>
                <w:rFonts w:ascii="Times New Roman" w:eastAsia="Times New Roman" w:hAnsi="Times New Roman" w:cs="Times New Roman"/>
              </w:rPr>
              <w:t xml:space="preserve">Format for Technical Proposal</w:t>
            </w:r>
            <w:r>
              <w:rPr>
                <w:b w:val="1"/>
                <w:color w:val="000000"/>
                <w:sz w:val="24"/>
                <w:szCs w:val="24"/>
                <w:u w:val="single"/>
                <w:shd w:val="clear" w:color="auto" w:fill="auto"/>
                <w:rFonts w:ascii="Times New Roman" w:eastAsia="Times New Roman" w:hAnsi="Times New Roman" w:cs="Times New Roman"/>
              </w:rPr>
              <w:br/>
            </w:r>
          </w:p>
        </w:tc>
      </w:tr>
      <w:tr>
        <w:trPr>
          <w:trHeight w:hRule="atleast" w:val="628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Sl. No.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PARTICULARS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ind w:firstLine="241"/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Supporting Documents required to be </w:t>
            </w:r>
            <w:r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submitted along with this Form</w:t>
            </w:r>
          </w:p>
        </w:tc>
      </w:tr>
      <w:tr>
        <w:trPr>
          <w:trHeight w:hRule="atleast" w:val="329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Name of the Firm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</w:tr>
      <w:tr>
        <w:trPr>
          <w:trHeight w:hRule="atleast" w:val="314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Addresses of the Firm: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</w:tr>
      <w:tr>
        <w:trPr>
          <w:trHeight w:hRule="atleast" w:val="314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vMerge w:val="restart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Head Office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Phone No:</w:t>
            </w:r>
          </w:p>
        </w:tc>
      </w:tr>
      <w:tr>
        <w:trPr>
          <w:trHeight w:hRule="atleast" w:val="314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type="dxa" w:w="4277"/>
            <w:vAlign w:val="center"/>
            <w:vMerge/>
            <w:shd w:val="clear" w:color="000000"/>
          </w:tcPr>
          <w:p/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Fax No:</w:t>
            </w:r>
          </w:p>
        </w:tc>
      </w:tr>
      <w:tr>
        <w:trPr>
          <w:trHeight w:hRule="atleast" w:val="524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type="dxa" w:w="4277"/>
            <w:vAlign w:val="center"/>
            <w:vMerge/>
            <w:shd w:val="clear" w:color="000000"/>
          </w:tcPr>
          <w:p/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Mobile No. of Head Office In-charge:</w:t>
            </w:r>
          </w:p>
        </w:tc>
      </w:tr>
      <w:tr>
        <w:trPr>
          <w:trHeight w:hRule="atleast" w:val="329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Date of establishment of the firm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</w:tr>
      <w:tr>
        <w:trPr>
          <w:trHeight w:hRule="atleast" w:val="628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Date since when is H.O. at the existing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Station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</w:tr>
      <w:tr>
        <w:trPr>
          <w:trHeight w:hRule="atleast" w:val="1257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2.6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Branch Office 1,2,3……(Particulars of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each branch to be given)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Phone No:</w:t>
            </w:r>
          </w:p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Fax No:</w:t>
            </w:r>
          </w:p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Mobile of each Branch Office In-charge:</w:t>
            </w:r>
          </w:p>
        </w:tc>
      </w:tr>
      <w:tr>
        <w:trPr>
          <w:trHeight w:hRule="atleast" w:val="316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2.7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Mention the date of establishment of 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each branch offices since when existed at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the existing place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</w:tr>
      <w:tr>
        <w:trPr>
          <w:trHeight w:hRule="atleast" w:val="329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Firm Income Tax PAN No.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Attach copy of PAN card</w:t>
            </w:r>
          </w:p>
        </w:tc>
      </w:tr>
      <w:tr>
        <w:trPr>
          <w:trHeight w:hRule="atleast" w:val="329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Firm GST Registration No.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Attach copy of Registration</w:t>
            </w:r>
          </w:p>
        </w:tc>
      </w:tr>
      <w:tr>
        <w:trPr>
          <w:trHeight w:hRule="atleast" w:val="329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Firm TAN Registration No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Attach copy of Registration</w:t>
            </w:r>
          </w:p>
        </w:tc>
      </w:tr>
      <w:tr>
        <w:trPr>
          <w:trHeight w:hRule="atleast" w:val="1108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Firm’s Registration No. with ICAI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both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Attach a copy of certificate downloaded from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ICAI Website showing the name &amp; address of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H.O., B.O. and partners etc.</w:t>
            </w:r>
          </w:p>
        </w:tc>
      </w:tr>
      <w:tr>
        <w:trPr>
          <w:trHeight w:hRule="atleast" w:val="1153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Empanelment No. with C&amp;AG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both"/>
              <w:spacing w:lineRule="auto" w:line="275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Attach proof of empanelment with C&amp;AG for </w:t>
            </w:r>
            <w:r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the year under Audit (2025-26) confirming that </w:t>
            </w:r>
            <w:r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the firm is eligible for major PSU audits.</w:t>
            </w:r>
          </w:p>
        </w:tc>
      </w:tr>
      <w:tr>
        <w:trPr>
          <w:trHeight w:hRule="atleast" w:val="1272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No. of Years of Firm Existence &amp; Date of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establishment of Firm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Attach copy of Partnership Deed</w:t>
            </w:r>
          </w:p>
        </w:tc>
      </w:tr>
      <w:tr>
        <w:trPr>
          <w:trHeight w:hRule="atleast" w:val="643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Turnover of the Firm in last three years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both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Attach a copy of Balance Sheet and P &amp; L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Account of the last three years or a C.A.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Certificate give Break-up of Audit Fee and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Other Fees Received.</w:t>
            </w:r>
          </w:p>
        </w:tc>
      </w:tr>
      <w:tr>
        <w:trPr>
          <w:trHeight w:hRule="atleast" w:val="314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Audit Experience of the Firm:</w:t>
            </w:r>
          </w:p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1.  Number of Assignments in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Commercial/Statutory Audit</w:t>
            </w:r>
          </w:p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2. Number of Assignments of Externally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Aided Projects/Social Sector Project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(excluding audit of Charitable Org.)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Institutions &amp;NGOs</w:t>
            </w:r>
          </w:p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3. Experience in the NHM audit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both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Copy of the Offer Letter &amp; the Fee Charged for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each assignment.</w:t>
            </w:r>
          </w:p>
          <w:p>
            <w:pPr>
              <w:jc w:val="both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(Relevant evidences to be given of the turnover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and fee)</w:t>
            </w:r>
          </w:p>
        </w:tc>
      </w:tr>
      <w:tr>
        <w:trPr>
          <w:trHeight w:hRule="atleast" w:val="314"/>
        </w:trPr>
        <w:tc>
          <w:tcPr>
            <w:tcW w:type="dxa" w:w="931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type="dxa" w:w="4277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Details of Partners:</w:t>
            </w:r>
          </w:p>
          <w:p>
            <w:pPr>
              <w:jc w:val="center"/>
              <w:spacing w:lineRule="auto" w:line="275"/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Provide following details:</w:t>
            </w:r>
          </w:p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  <w:t xml:space="preserve"> Number of Full Time Fellow Partners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  <w:t xml:space="preserve">associated with the firm</w:t>
            </w:r>
          </w:p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  <w:t xml:space="preserve"> Name of each partner</w:t>
            </w:r>
          </w:p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  <w:t xml:space="preserve">Date of becoming ACA and FCA</w:t>
            </w:r>
          </w:p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  <w:t xml:space="preserve">Date of joining the firm</w:t>
            </w:r>
          </w:p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  <w:t xml:space="preserve"> Membership No.</w:t>
            </w:r>
          </w:p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  <w:t xml:space="preserve"> Qualification</w:t>
            </w:r>
          </w:p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  <w:t>Experience</w:t>
            </w:r>
          </w:p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  <w:t xml:space="preserve"> Whether the partners is engaged full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  <w:t xml:space="preserve">time or part time with the firm</w:t>
            </w:r>
          </w:p>
          <w:p>
            <w:pPr>
              <w:jc w:val="center"/>
              <w:spacing w:lineRule="auto" w:line="275"/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  <w:t xml:space="preserve"> Their Contact Mobile No., email and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Symbol" w:hAnsi="Times New Roman" w:cs="Times New Roman"/>
              </w:rPr>
              <w:t xml:space="preserve">full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Address (Attested copy of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Certificate/letter of ICAI not before </w:t>
            </w:r>
            <w:r>
              <w:rPr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01/01/2026</w:t>
            </w:r>
          </w:p>
        </w:tc>
        <w:tc>
          <w:tcPr>
            <w:tcW w:type="dxa" w:w="4798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jc w:val="center"/>
              <w:spacing w:lineRule="auto" w:line="275"/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Attested copy of Certificate of ICAI not </w:t>
            </w:r>
            <w:r>
              <w:rPr>
                <w:b w:val="1"/>
                <w:color w:val="000000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before 01.01.2026</w:t>
            </w:r>
          </w:p>
        </w:tc>
      </w:tr>
    </w:tbl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bookmarkStart w:id="5" w:name="page15"/>
      <w:bookmarkEnd w:id="5"/>
    </w:p>
    <w:p>
      <w:pPr>
        <w:jc w:val="both"/>
        <w:spacing w:lineRule="auto" w:line="275"/>
        <w:ind w:left="1134" w:right="259" w:hanging="693"/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i w:val="1"/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>Note:</w:t>
      </w:r>
      <w:r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The firm shall give an undertaking that the team members are proficient in the State’s </w:t>
      </w:r>
      <w:r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official language (both oral and written).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ectPr>
          <w15:footnoteColumns w:val="1"/>
          <w:pgSz w:w="12240" w:h="15840"/>
          <w:pgMar w:top="1148" w:left="1300" w:bottom="709" w:right="616" w:header="0" w:footer="0" w:gutter="0"/>
          <w:pgNumType w:fmt="decimal"/>
          <w:docGrid w:type="default" w:linePitch="360" w:charSpace="0"/>
        </w:sect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ind w:left="8200" w:firstLine="0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  <w:bookmarkStart w:id="6" w:name="page16"/>
      <w:bookmarkEnd w:id="6"/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Form F-1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ind w:left="3060" w:firstLine="0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FORMAT FOR FINANCIAL BID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ind w:left="1000" w:firstLine="0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(Please provide the break-up of Firm’s quoted fees for each work and unit)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tbl>
      <w:tblID w:val="0"/>
      <w:tblPr>
        <w:tblCellMar>
          <w:left w:w="0" w:type="dxa"/>
          <w:top w:w="0" w:type="dxa"/>
          <w:right w:w="0" w:type="dxa"/>
          <w:bottom w:w="0" w:type="dxa"/>
        </w:tblCellMar>
        <w:tblW w:w="0" w:type="auto"/>
        <w:tblInd w:w="130" w:type="dxa"/>
        <w:tblLook w:val="000000" w:firstRow="0" w:lastRow="0" w:firstColumn="0" w:lastColumn="0" w:noHBand="0" w:noVBand="0"/>
        <w:tblLayout w:type="auto"/>
      </w:tblPr>
      <w:tblGrid>
        <w:gridCol w:w="840"/>
        <w:gridCol w:w="4420"/>
        <w:gridCol w:w="3840"/>
      </w:tblGrid>
      <w:tr>
        <w:trPr>
          <w:trHeight w:hRule="atleast" w:val="285"/>
        </w:trPr>
        <w:tc>
          <w:tcPr>
            <w:tcW w:type="dxa" w:w="840"/>
            <w:vAlign w:val="bottom"/>
            <w:tcBorders>
              <w:left w:val="single" w:color="auto" w:sz="8"/>
              <w:top w:val="single" w:color="auto" w:sz="8"/>
            </w:tcBorders>
            <w:shd w:val="clear" w:color="000000"/>
          </w:tcPr>
          <w:p>
            <w:pPr>
              <w:spacing w:lineRule="auto" w:line="275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  <w:tc>
          <w:tcPr>
            <w:tcW w:type="dxa" w:w="4420"/>
            <w:vAlign w:val="bottom"/>
            <w:tcBorders>
              <w:right w:val="single" w:color="auto" w:sz="8"/>
              <w:top w:val="single" w:color="auto" w:sz="8"/>
            </w:tcBorders>
            <w:shd w:val="clear" w:color="000000"/>
          </w:tcPr>
          <w:p>
            <w:pPr>
              <w:spacing w:lineRule="auto" w:line="275"/>
              <w:ind w:left="1200" w:firstLine="0"/>
              <w:rPr>
                <w:b w:val="1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Particulars</w:t>
            </w:r>
          </w:p>
        </w:tc>
        <w:tc>
          <w:tcPr>
            <w:tcW w:type="dxa" w:w="3840"/>
            <w:vAlign w:val="bottom"/>
            <w:tcBorders>
              <w:right w:val="single" w:color="auto" w:sz="8"/>
              <w:top w:val="single" w:color="auto" w:sz="8"/>
            </w:tcBorders>
            <w:shd w:val="clear" w:color="000000"/>
          </w:tcPr>
          <w:p>
            <w:pPr>
              <w:spacing w:lineRule="auto" w:line="275"/>
              <w:ind w:left="80" w:firstLine="0"/>
              <w:rPr>
                <w:b w:val="1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Total Amount (in Rupees)</w:t>
            </w:r>
          </w:p>
        </w:tc>
      </w:tr>
      <w:tr>
        <w:trPr>
          <w:trHeight w:hRule="atleast" w:val="44"/>
        </w:trPr>
        <w:tc>
          <w:tcPr>
            <w:tcW w:type="dxa" w:w="5260"/>
            <w:vAlign w:val="bottom"/>
            <w:gridSpan w:val="2"/>
            <w:tcBorders>
              <w:bottom w:val="single" w:color="auto" w:sz="8"/>
              <w:left w:val="single" w:color="auto" w:sz="8"/>
              <w:right w:val="single" w:color="auto" w:sz="8"/>
            </w:tcBorders>
            <w:shd w:val="clear" w:color="000000"/>
          </w:tcPr>
          <w:p>
            <w:pPr>
              <w:spacing w:lineRule="auto" w:line="275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  <w:tc>
          <w:tcPr>
            <w:tcW w:type="dxa" w:w="3840"/>
            <w:vAlign w:val="bottom"/>
            <w:tcBorders>
              <w:bottom w:val="single" w:color="auto" w:sz="8"/>
              <w:right w:val="single" w:color="auto" w:sz="8"/>
            </w:tcBorders>
            <w:shd w:val="clear" w:color="000000"/>
          </w:tcPr>
          <w:p>
            <w:pPr>
              <w:spacing w:lineRule="auto" w:line="275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</w:tr>
      <w:tr>
        <w:trPr>
          <w:trHeight w:hRule="atleast" w:val="896"/>
        </w:trPr>
        <w:tc>
          <w:tcPr>
            <w:tcW w:type="dxa" w:w="5260"/>
            <w:vAlign w:val="bottom"/>
            <w:gridSpan w:val="2"/>
            <w:tcBorders>
              <w:left w:val="single" w:color="auto" w:sz="8"/>
              <w:right w:val="single" w:color="auto" w:sz="8"/>
            </w:tcBorders>
            <w:shd w:val="clear" w:color="000000"/>
          </w:tcPr>
          <w:p>
            <w:pPr>
              <w:spacing w:lineRule="auto" w:line="275"/>
              <w:ind w:left="100" w:firstLine="0"/>
              <w:rPr>
                <w:b w:val="1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AUDIT FEE</w:t>
            </w:r>
          </w:p>
        </w:tc>
        <w:tc>
          <w:tcPr>
            <w:tcW w:type="dxa" w:w="3840"/>
            <w:vAlign w:val="bottom"/>
            <w:tcBorders>
              <w:right w:val="single" w:color="auto" w:sz="8"/>
            </w:tcBorders>
            <w:shd w:val="clear" w:color="000000"/>
          </w:tcPr>
          <w:p>
            <w:pPr>
              <w:spacing w:lineRule="auto" w:line="275"/>
              <w:ind w:left="80" w:firstLine="0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Both in Numeric and in Words.</w:t>
            </w:r>
          </w:p>
        </w:tc>
      </w:tr>
      <w:tr>
        <w:trPr>
          <w:trHeight w:hRule="atleast" w:val="632"/>
        </w:trPr>
        <w:tc>
          <w:tcPr>
            <w:tcW w:type="dxa" w:w="840"/>
            <w:vAlign w:val="bottom"/>
            <w:tcBorders>
              <w:left w:val="single" w:color="auto" w:sz="8"/>
            </w:tcBorders>
            <w:shd w:val="clear" w:color="000000"/>
          </w:tcPr>
          <w:p>
            <w:pPr>
              <w:spacing w:lineRule="auto" w:line="275"/>
              <w:ind w:left="580" w:firstLine="0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a.</w:t>
            </w:r>
          </w:p>
        </w:tc>
        <w:tc>
          <w:tcPr>
            <w:tcW w:type="dxa" w:w="4420"/>
            <w:vAlign w:val="bottom"/>
            <w:tcBorders>
              <w:right w:val="single" w:color="auto" w:sz="8"/>
            </w:tcBorders>
            <w:shd w:val="clear" w:color="000000"/>
          </w:tcPr>
          <w:p>
            <w:pPr>
              <w:spacing w:lineRule="auto" w:line="275"/>
              <w:ind w:left="100" w:firstLine="0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Audit fess---------------</w:t>
            </w:r>
          </w:p>
        </w:tc>
        <w:tc>
          <w:tcPr>
            <w:tcW w:type="dxa" w:w="3840"/>
            <w:vAlign w:val="bottom"/>
            <w:tcBorders>
              <w:right w:val="single" w:color="auto" w:sz="8"/>
            </w:tcBorders>
            <w:shd w:val="clear" w:color="000000"/>
          </w:tcPr>
          <w:p>
            <w:pPr>
              <w:spacing w:lineRule="auto" w:line="275"/>
              <w:ind w:left="80" w:firstLine="0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Rs.__________________/-</w:t>
            </w:r>
          </w:p>
        </w:tc>
      </w:tr>
      <w:tr>
        <w:trPr>
          <w:trHeight w:hRule="atleast" w:val="317"/>
        </w:trPr>
        <w:tc>
          <w:tcPr>
            <w:tcW w:type="dxa" w:w="840"/>
            <w:vAlign w:val="bottom"/>
            <w:tcBorders>
              <w:left w:val="single" w:color="auto" w:sz="8"/>
            </w:tcBorders>
            <w:shd w:val="clear" w:color="000000"/>
          </w:tcPr>
          <w:p>
            <w:pPr>
              <w:spacing w:lineRule="auto" w:line="275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  <w:tc>
          <w:tcPr>
            <w:tcW w:type="dxa" w:w="4420"/>
            <w:vAlign w:val="bottom"/>
            <w:tcBorders>
              <w:right w:val="single" w:color="auto" w:sz="8"/>
            </w:tcBorders>
            <w:shd w:val="clear" w:color="000000"/>
          </w:tcPr>
          <w:p>
            <w:pPr>
              <w:spacing w:lineRule="auto" w:line="275"/>
              <w:ind w:left="100" w:firstLine="0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(Including cost of TA/DA)</w:t>
            </w:r>
          </w:p>
        </w:tc>
        <w:tc>
          <w:tcPr>
            <w:tcW w:type="dxa" w:w="3840"/>
            <w:vAlign w:val="bottom"/>
            <w:tcBorders>
              <w:right w:val="single" w:color="auto" w:sz="8"/>
            </w:tcBorders>
            <w:shd w:val="clear" w:color="000000"/>
          </w:tcPr>
          <w:p>
            <w:pPr>
              <w:spacing w:lineRule="auto" w:line="275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</w:tr>
      <w:tr>
        <w:trPr>
          <w:trHeight w:hRule="atleast" w:val="317"/>
        </w:trPr>
        <w:tc>
          <w:tcPr>
            <w:tcW w:type="dxa" w:w="840"/>
            <w:vAlign w:val="bottom"/>
            <w:tcBorders>
              <w:left w:val="single" w:color="auto" w:sz="8"/>
            </w:tcBorders>
            <w:shd w:val="clear" w:color="000000"/>
          </w:tcPr>
          <w:p>
            <w:pPr>
              <w:spacing w:lineRule="auto" w:line="275"/>
              <w:ind w:left="580" w:firstLine="0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b.</w:t>
            </w:r>
          </w:p>
        </w:tc>
        <w:tc>
          <w:tcPr>
            <w:tcW w:type="dxa" w:w="4420"/>
            <w:vAlign w:val="bottom"/>
            <w:tcBorders>
              <w:right w:val="single" w:color="auto" w:sz="8"/>
            </w:tcBorders>
            <w:shd w:val="clear" w:color="000000"/>
          </w:tcPr>
          <w:p>
            <w:pPr>
              <w:spacing w:lineRule="auto" w:line="275"/>
              <w:ind w:left="100" w:firstLine="0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GST Tax----------------</w:t>
            </w:r>
          </w:p>
        </w:tc>
        <w:tc>
          <w:tcPr>
            <w:tcW w:type="dxa" w:w="3840"/>
            <w:vAlign w:val="bottom"/>
            <w:tcBorders>
              <w:right w:val="single" w:color="auto" w:sz="8"/>
            </w:tcBorders>
            <w:shd w:val="clear" w:color="000000"/>
          </w:tcPr>
          <w:p>
            <w:pPr>
              <w:spacing w:lineRule="auto" w:line="275"/>
              <w:ind w:left="80" w:firstLine="0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(Rupees</w:t>
            </w:r>
          </w:p>
        </w:tc>
      </w:tr>
      <w:tr>
        <w:trPr>
          <w:trHeight w:hRule="atleast" w:val="319"/>
        </w:trPr>
        <w:tc>
          <w:tcPr>
            <w:tcW w:type="dxa" w:w="840"/>
            <w:vAlign w:val="bottom"/>
            <w:tcBorders>
              <w:left w:val="single" w:color="auto" w:sz="8"/>
            </w:tcBorders>
            <w:shd w:val="clear" w:color="000000"/>
          </w:tcPr>
          <w:p>
            <w:pPr>
              <w:spacing w:lineRule="auto" w:line="275"/>
              <w:ind w:left="580" w:firstLine="0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c.</w:t>
            </w:r>
          </w:p>
        </w:tc>
        <w:tc>
          <w:tcPr>
            <w:tcW w:type="dxa" w:w="4420"/>
            <w:vAlign w:val="bottom"/>
            <w:tcBorders>
              <w:right w:val="single" w:color="auto" w:sz="8"/>
            </w:tcBorders>
            <w:shd w:val="clear" w:color="000000"/>
          </w:tcPr>
          <w:p>
            <w:pPr>
              <w:spacing w:lineRule="auto" w:line="275"/>
              <w:ind w:left="100" w:firstLine="0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Total Fees---------------</w:t>
            </w:r>
          </w:p>
        </w:tc>
        <w:tc>
          <w:tcPr>
            <w:tcW w:type="dxa" w:w="3840"/>
            <w:vAlign w:val="bottom"/>
            <w:tcBorders>
              <w:right w:val="single" w:color="auto" w:sz="8"/>
            </w:tcBorders>
            <w:shd w:val="clear" w:color="000000"/>
          </w:tcPr>
          <w:p>
            <w:pPr>
              <w:spacing w:lineRule="auto" w:line="275"/>
              <w:ind w:left="80" w:firstLine="0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>________________________).</w:t>
            </w:r>
          </w:p>
        </w:tc>
      </w:tr>
      <w:tr>
        <w:trPr>
          <w:trHeight w:hRule="atleast" w:val="634"/>
        </w:trPr>
        <w:tc>
          <w:tcPr>
            <w:tcW w:type="dxa" w:w="5260"/>
            <w:vAlign w:val="bottom"/>
            <w:gridSpan w:val="2"/>
            <w:tcBorders>
              <w:left w:val="single" w:color="auto" w:sz="8"/>
              <w:right w:val="single" w:color="auto" w:sz="8"/>
            </w:tcBorders>
            <w:shd w:val="clear" w:color="000000"/>
          </w:tcPr>
          <w:p>
            <w:pPr>
              <w:spacing w:lineRule="auto" w:line="275"/>
              <w:ind w:left="100" w:firstLine="0"/>
              <w:rPr>
                <w:i w:val="1"/>
                <w:b w:val="1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i w:val="1"/>
                <w:b w:val="1"/>
                <w:sz w:val="24"/>
                <w:szCs w:val="24"/>
                <w:u w:val="single"/>
                <w:shd w:val="clear" w:color="auto" w:fill="auto"/>
                <w:rFonts w:ascii="Times New Roman" w:eastAsia="Times New Roman" w:hAnsi="Times New Roman" w:cs="Times New Roman"/>
              </w:rPr>
              <w:t>Note:</w:t>
            </w:r>
            <w:r>
              <w:rPr>
                <w:i w:val="1"/>
                <w:b w:val="1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 Percentage of funds involved shall not be a</w:t>
            </w:r>
          </w:p>
        </w:tc>
        <w:tc>
          <w:tcPr>
            <w:tcW w:type="dxa" w:w="3840"/>
            <w:vAlign w:val="bottom"/>
            <w:tcBorders>
              <w:right w:val="single" w:color="auto" w:sz="8"/>
            </w:tcBorders>
            <w:shd w:val="clear" w:color="000000"/>
          </w:tcPr>
          <w:p>
            <w:pPr>
              <w:spacing w:lineRule="auto" w:line="275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</w:tr>
      <w:tr>
        <w:trPr>
          <w:trHeight w:hRule="atleast" w:val="322"/>
        </w:trPr>
        <w:tc>
          <w:tcPr>
            <w:tcW w:type="dxa" w:w="5260"/>
            <w:vAlign w:val="bottom"/>
            <w:gridSpan w:val="2"/>
            <w:tcBorders>
              <w:left w:val="single" w:color="auto" w:sz="8"/>
              <w:right w:val="single" w:color="auto" w:sz="8"/>
            </w:tcBorders>
            <w:shd w:val="clear" w:color="000000"/>
          </w:tcPr>
          <w:p>
            <w:pPr>
              <w:spacing w:lineRule="auto" w:line="275"/>
              <w:ind w:left="100" w:firstLine="0"/>
              <w:rPr>
                <w:i w:val="1"/>
                <w:b w:val="1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i w:val="1"/>
                <w:b w:val="1"/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  <w:t xml:space="preserve">basis of quoting the Audit Fee.</w:t>
            </w:r>
          </w:p>
        </w:tc>
        <w:tc>
          <w:tcPr>
            <w:tcW w:type="dxa" w:w="3840"/>
            <w:vAlign w:val="bottom"/>
            <w:tcBorders>
              <w:right w:val="single" w:color="auto" w:sz="8"/>
            </w:tcBorders>
            <w:shd w:val="clear" w:color="000000"/>
          </w:tcPr>
          <w:p>
            <w:pPr>
              <w:spacing w:lineRule="auto" w:line="275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</w:tr>
      <w:tr>
        <w:trPr>
          <w:trHeight w:hRule="atleast" w:val="363"/>
        </w:trPr>
        <w:tc>
          <w:tcPr>
            <w:tcW w:type="dxa" w:w="840"/>
            <w:vAlign w:val="bottom"/>
            <w:tcBorders>
              <w:bottom w:val="single" w:color="auto" w:sz="8"/>
              <w:left w:val="single" w:color="auto" w:sz="8"/>
            </w:tcBorders>
            <w:shd w:val="clear" w:color="000000"/>
          </w:tcPr>
          <w:p>
            <w:pPr>
              <w:spacing w:lineRule="auto" w:line="275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  <w:tc>
          <w:tcPr>
            <w:tcW w:type="dxa" w:w="4420"/>
            <w:vAlign w:val="bottom"/>
            <w:tcBorders>
              <w:bottom w:val="single" w:color="auto" w:sz="8"/>
              <w:right w:val="single" w:color="auto" w:sz="8"/>
            </w:tcBorders>
            <w:shd w:val="clear" w:color="000000"/>
          </w:tcPr>
          <w:p>
            <w:pPr>
              <w:spacing w:lineRule="auto" w:line="275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  <w:tc>
          <w:tcPr>
            <w:tcW w:type="dxa" w:w="3840"/>
            <w:vAlign w:val="bottom"/>
            <w:tcBorders>
              <w:bottom w:val="single" w:color="auto" w:sz="8"/>
              <w:right w:val="single" w:color="auto" w:sz="8"/>
            </w:tcBorders>
            <w:shd w:val="clear" w:color="000000"/>
          </w:tcPr>
          <w:p>
            <w:pPr>
              <w:spacing w:lineRule="auto" w:line="275"/>
              <w:rPr>
                <w:sz w:val="24"/>
                <w:szCs w:val="24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</w:tr>
    </w:tbl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tabs>
          <w:tab w:val="left" w:pos="700"/>
        </w:tabs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Note: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ab/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In case of change in the rate of GST the revised GST shall be paid.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right"/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hAnsi="Times New Roman" w:cs="Times New Roman"/>
        </w:rPr>
      </w:pPr>
      <w:bookmarkStart w:id="7" w:name="page17"/>
      <w:bookmarkEnd w:id="7"/>
      <w:r>
        <w:rPr>
          <w:b w:val="1"/>
          <w:sz w:val="24"/>
          <w:szCs w:val="24"/>
          <w:u w:val="single"/>
          <w:shd w:val="clear" w:color="auto" w:fill="auto"/>
          <w:rFonts w:ascii="Times New Roman" w:hAnsi="Times New Roman" w:cs="Times New Roman"/>
        </w:rPr>
        <w:t xml:space="preserve">Form U </w:t>
      </w:r>
    </w:p>
    <w:p>
      <w:pPr>
        <w:jc w:val="center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(Letter of undertaking for having the local office in the State)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>To</w:t>
      </w:r>
    </w:p>
    <w:p>
      <w:pPr>
        <w:spacing w:lineRule="auto" w:line="275"/>
        <w:ind w:left="720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The Mission Director,</w:t>
      </w:r>
    </w:p>
    <w:p>
      <w:pPr>
        <w:spacing w:lineRule="auto" w:line="275"/>
        <w:ind w:left="720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State Health Society,</w:t>
      </w:r>
    </w:p>
    <w:p>
      <w:pPr>
        <w:spacing w:lineRule="auto" w:line="275"/>
        <w:ind w:left="720" w:firstLine="0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[Name &amp; Address of the State]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>Sir,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ind w:firstLine="720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We, the undersigned, hereby offer to provide audit services for the </w:t>
      </w:r>
      <w:r>
        <w:rPr>
          <w:i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[Name of State Health </w:t>
      </w:r>
      <w:r>
        <w:rPr>
          <w:i w:val="1"/>
          <w:sz w:val="24"/>
          <w:szCs w:val="24"/>
          <w:shd w:val="clear" w:color="auto" w:fill="auto"/>
          <w:rFonts w:ascii="Times New Roman" w:hAnsi="Times New Roman" w:cs="Times New Roman"/>
        </w:rPr>
        <w:t>Society]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 in accordance with your Request for Proposal dated </w:t>
      </w:r>
      <w:r>
        <w:rPr>
          <w:i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[insert date]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. We submit our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proposal containing the details of our firm along with the proposed audit fees.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>2.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ab/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We hereby declare that our firm has its Head Office / Branch Office in the State </w:t>
      </w:r>
      <w:r>
        <w:rPr>
          <w:i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of [name </w:t>
      </w:r>
      <w:r>
        <w:rPr>
          <w:i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of State],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 located at the following address:</w:t>
      </w:r>
    </w:p>
    <w:p>
      <w:pPr>
        <w:jc w:val="both"/>
        <w:spacing w:lineRule="auto" w:line="275"/>
        <w:rPr>
          <w:i w:val="1"/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i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[complete address].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>3.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ab/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The address proof of the said office (photocopy of the Certificate of Incorporation of the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firm, lease agreement, telephone connection, electricity connection, etc.) is enclosed herewith.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>4.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ab/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We further undertake that the staff deputed by our firm for conducting the audit are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proficient in the local language of the State/UT, both in oral and written communication.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>5.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ab/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We understand that if any information furnished herein is found to be false or misleading, </w:t>
      </w: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the same to be treated as fraud, and appropriate action may be taken in this regard.</w:t>
      </w:r>
    </w:p>
    <w:p>
      <w:pPr>
        <w:jc w:val="right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right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Yours faithfully,</w:t>
      </w:r>
    </w:p>
    <w:p>
      <w:pPr>
        <w:jc w:val="right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right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right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 xml:space="preserve">(                           )</w:t>
      </w:r>
    </w:p>
    <w:p>
      <w:pPr>
        <w:jc w:val="right"/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>Encl: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>1…………….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hAnsi="Times New Roman" w:cs="Times New Roman"/>
        </w:rPr>
        <w:t>2…………….</w:t>
      </w:r>
    </w:p>
    <w:p>
      <w:pPr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u w:val="single"/>
          <w:shd w:val="clear" w:color="auto" w:fill="auto"/>
          <w:rFonts w:ascii="Times New Roman" w:eastAsia="Times New Roman" w:hAnsi="Times New Roman" w:cs="Times New Roman"/>
        </w:rPr>
        <w:t xml:space="preserve">Selection Process of the Auditor: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For the purpose of the appointment of the statutory auditor for 2025-26, following points should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be taken into account-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numPr>
          <w:numId w:val="33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Open advertisement (as per Format for Advertisement as at Form-A) in leading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newspapers at State level and National level for inviting proposals from CAG empanelled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Chartered Accountant firms for statutory audit of State and District Health Societies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should be issued first. A copy of the advertisement shall also be e-mailed to the Institute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of Chartered Accountants of India (ICAI) for web hosting on ICAI website at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secretary@icai.in &amp; secretary@icai.org. (Format of the advertisement is enclosed) – A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copy of the advertisement shall have to be sent to Financial Management Group (FMG)-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US (NHM-Finance) in MoHFW. Advertisement along with the detailed RFP shall also to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be uploaded on the State’s NHM website.</w:t>
      </w:r>
    </w:p>
    <w:p>
      <w:pPr>
        <w:pStyle w:val="PO26"/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numPr>
          <w:numId w:val="33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 pre-bid conference shall be held (date to be indicated in the advertisement) wherein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queries/doubts of the potential bidders shall be clarified.</w:t>
      </w:r>
    </w:p>
    <w:p>
      <w:pPr>
        <w:pStyle w:val="PO26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numPr>
          <w:numId w:val="33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Executive Committee of the SHS will form a Standing Committee on Audit (SCA)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with suitable representation from programme and finance wings. The SCA should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invariably be headed by the Director-Finance or other person nominated by the Mission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Director. This SCA will also act as the Selection Committee for the selection of auditors.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SCA will subsequently monitor the audit process and the follow-up on audit paras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and Action Taken Reports on those audit paras. After the selection of auditor by SCA,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same will have to be approved in the meeting of Executive Committee of the SHS.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detailed scheduled with regard to the tendering process shall be as under: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numPr>
          <w:numId w:val="34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Advertisement: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Advertisement should be made latest by the 1</w:t>
      </w:r>
      <w:r>
        <w:rPr>
          <w:vertAlign w:val="superscript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st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April, 2026 so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process of appointment of auditor is completed before 25</w:t>
      </w:r>
      <w:r>
        <w:rPr>
          <w:vertAlign w:val="superscript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th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April, 2026.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numPr>
          <w:numId w:val="34"/>
          <w:ilvl w:val="0"/>
        </w:numPr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Date for collection of RFP: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Within 15 days of advertisement i.e. 16</w:t>
      </w:r>
      <w:r>
        <w:rPr>
          <w:vertAlign w:val="superscript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th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April, 2026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numPr>
          <w:numId w:val="34"/>
          <w:ilvl w:val="0"/>
        </w:numPr>
        <w:jc w:val="both"/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Date of pre-bid conference: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Next day of the last date for collection of the RFP i.e.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17</w:t>
      </w:r>
      <w:r>
        <w:rPr>
          <w:vertAlign w:val="superscript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th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April, 2026.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numPr>
          <w:numId w:val="34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Last date and time for submission of Proposal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: Within one week from the date of pre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-bid conference i.e. 24</w:t>
      </w:r>
      <w:r>
        <w:rPr>
          <w:vertAlign w:val="superscript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th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April, 2026.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26"/>
        <w:numPr>
          <w:numId w:val="34"/>
          <w:ilvl w:val="0"/>
        </w:num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Date and time of opening of Tender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: On the day of closing of submission of proposal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and after 2 hours of the closing time i.e. 24</w:t>
      </w:r>
      <w:r>
        <w:rPr>
          <w:vertAlign w:val="superscript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th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 April, 2026.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selection process of the auditor shall be subject to review by the FMG, MoHFW, GoI;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Office of the Chief Controller of Accounts, MoHFW, GoI; audit parties of the AG; or any other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authorized person of the MoHFW, GoI.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At the time of selection of the Statutory Auditor, the State must ensure that the firm was not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engaged as a Concurrent Auditor of the State during the year for which the auditor is being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appointed, including the financial year 2025-26.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selection will be carried out by choosing the firm quoting the lowest financial bid (L-1) after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finalization of the technical proposal. While finalizing the audit firms, preference may be given to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firms having their Head Office or Local Branch Office in the State capital of the same State for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which the proposal has been submitted. Such office must have existed within the State for not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less than three years, as certified by the ICAI. Accordingly, a firm quoting the second-lowest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financial bid (L-2) may be considered for appointment as Statutory Auditor if it has a Head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Office or Local Branch Office in the concerned State.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Upon completion of the selection process, the selected firm shall be awarded the audit contract of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SHS and DHS through issuance of a Letter of Award (LOA). The firm should execute a contract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with the SHS within two weeks from the date of issuance of the LOA.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In case a bidding firm is found unsuitable for audit on any reasonable grounds, such as adverse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information received from the Ministry, ICAI, or any State authority, the State may reject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proposal without assigning any reason.</w:t>
      </w: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right"/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bookmarkStart w:id="8" w:name="page19"/>
      <w:bookmarkEnd w:id="8"/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Form – A (Format of Advertisement)</w:t>
      </w:r>
    </w:p>
    <w:p>
      <w:pPr>
        <w:spacing w:lineRule="auto" w:line="275"/>
        <w:ind w:left="340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Government of ………….</w:t>
      </w:r>
    </w:p>
    <w:p>
      <w:pPr>
        <w:spacing w:lineRule="auto" w:line="275"/>
        <w:ind w:left="288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Health &amp; Family Welfare Department</w:t>
      </w:r>
    </w:p>
    <w:p>
      <w:pPr>
        <w:spacing w:lineRule="auto" w:line="275"/>
        <w:ind w:left="372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State Health Society</w:t>
      </w:r>
    </w:p>
    <w:p>
      <w:pP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ind w:left="1420" w:firstLine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SELECTION OF AUDITORS - REQUEST FOR PROPOSAL</w:t>
      </w:r>
    </w:p>
    <w:p>
      <w:pP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ind w:left="320" w:firstLine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HIRING SERVICES OF CHARTERED ACCOUNTANT FIRM FOR STATUTORY</w:t>
      </w:r>
    </w:p>
    <w:p>
      <w:pP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pStyle w:val="PO5"/>
        <w:jc w:val="center"/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AUDIT OF STATE HEALTH SOCIETY (SHS) &amp; DISTRICT HEALTH SOCIETY (DHS) - </w:t>
      </w:r>
      <w:r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  <w:t xml:space="preserve">(FOR THE FINANCIAL YEAR 2025-26) under National Health Mission (NHM)</w:t>
      </w:r>
    </w:p>
    <w:p>
      <w:pPr>
        <w:pStyle w:val="PO5"/>
        <w:jc w:val="center"/>
        <w:rPr>
          <w:b w:val="1"/>
          <w:sz w:val="24"/>
          <w:szCs w:val="24"/>
          <w:shd w:val="clear" w:color="auto" w:fill="auto"/>
          <w:rFonts w:ascii="Times New Roman" w:hAnsi="Times New Roman" w:cs="Times New Roman"/>
        </w:rPr>
      </w:pPr>
    </w:p>
    <w:p>
      <w:pPr>
        <w:jc w:val="both"/>
        <w:spacing w:lineRule="auto" w:line="275"/>
        <w:ind w:firstLine="72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Govt of India (GOI) in partnership with the States is implementing the National Health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Mission which comprises various programs, with the objective of improving medical facilities in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areas and seeks to provide accessible, affordable and quality health care to the population,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especially the vulnerable sections. To facilitate implementation of NHM, State and District level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entities (Health Societies) have been registered which work under the administrative control of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the Department of Health &amp; Family Welfare. The …………. (Name of State) State Health</w:t>
      </w:r>
    </w:p>
    <w:p>
      <w:pPr>
        <w:jc w:val="both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Society, invites “Proposal for audit” from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firms of Chartered Accountants empanelled with</w:t>
      </w:r>
    </w:p>
    <w:p>
      <w:pPr>
        <w:jc w:val="both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C&amp; AG and eligible for conducting audit of major PSUs for the year 2025-26.</w:t>
      </w:r>
    </w:p>
    <w:p>
      <w:pPr>
        <w:jc w:val="both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Minimum payable fees will be worked out as per the norms of ICAI.</w:t>
      </w:r>
    </w:p>
    <w:p>
      <w:pP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both"/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Detailed RFP: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Detailed Request for Proposal (RFP) comprising Background, Terms of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Reference (ToR) and Guidelines for submitting the proposal can be either downloaded from the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State’s website </w:t>
      </w:r>
      <w:r>
        <w:fldChar w:fldCharType="begin"/>
      </w:r>
      <w:r>
        <w:instrText xml:space="preserve">HYPERLINK "http://www.nhm.gov.in/"</w:instrText>
      </w:r>
      <w:r>
        <w:fldChar w:fldCharType="separate"/>
      </w:r>
      <w:r>
        <w:rPr>
          <w:color w:val="0000FF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w</w:t>
      </w:r>
      <w:r>
        <w:rPr>
          <w:color w:val="0000FF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w</w:t>
      </w:r>
      <w:r>
        <w:rPr>
          <w:color w:val="0000FF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w</w:t>
      </w:r>
      <w:r>
        <w:rPr>
          <w:color w:val="0000FF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.</w:t>
      </w:r>
      <w:r>
        <w:rPr>
          <w:color w:val="0000FF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n</w:t>
      </w:r>
      <w:r>
        <w:rPr>
          <w:color w:val="0000FF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h</w:t>
      </w:r>
      <w:r>
        <w:rPr>
          <w:color w:val="0000FF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m</w:t>
      </w:r>
      <w:r>
        <w:rPr>
          <w:color w:val="0000FF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.</w:t>
      </w:r>
      <w:r>
        <w:rPr>
          <w:color w:val="0000FF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g</w:t>
      </w:r>
      <w:r>
        <w:rPr>
          <w:color w:val="0000FF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o</w:t>
      </w:r>
      <w:r>
        <w:rPr>
          <w:color w:val="0000FF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v</w:t>
      </w:r>
      <w:r>
        <w:rPr>
          <w:color w:val="0000FF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.</w:t>
      </w:r>
      <w:r>
        <w:rPr>
          <w:color w:val="0000FF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i</w:t>
      </w:r>
      <w:r>
        <w:rPr>
          <w:color w:val="0000FF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n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fldChar w:fldCharType="end"/>
      </w:r>
      <w:r>
        <w:rPr>
          <w:shd w:val="clear" w:color="auto" w:fill="auto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or this can be collected from the O/o Mission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Director……………….SHS between ……….. and ………………….</w:t>
      </w:r>
    </w:p>
    <w:p>
      <w:pP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p>
      <w:pPr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Important Dates:</w:t>
      </w:r>
    </w:p>
    <w:p>
      <w:pPr>
        <w:numPr>
          <w:numId w:val="4"/>
          <w:ilvl w:val="0"/>
        </w:numPr>
        <w:jc w:val="both"/>
        <w:spacing w:lineRule="auto" w:line="275"/>
        <w:ind w:left="720" w:hanging="488"/>
        <w:tabs>
          <w:tab w:val="left" w:pos="720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Last date for collection of RFP from Office of SHS: ………………….</w:t>
      </w:r>
    </w:p>
    <w:p>
      <w:pPr>
        <w:numPr>
          <w:numId w:val="4"/>
          <w:ilvl w:val="0"/>
        </w:numPr>
        <w:jc w:val="both"/>
        <w:spacing w:lineRule="auto" w:line="275"/>
        <w:ind w:left="720" w:hanging="556"/>
        <w:tabs>
          <w:tab w:val="left" w:pos="720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Date for pre-bid conference: …………………………………………….</w:t>
      </w:r>
    </w:p>
    <w:p>
      <w:pPr>
        <w:numPr>
          <w:numId w:val="4"/>
          <w:ilvl w:val="0"/>
        </w:numPr>
        <w:jc w:val="both"/>
        <w:spacing w:lineRule="auto" w:line="275"/>
        <w:ind w:left="720" w:hanging="620"/>
        <w:tabs>
          <w:tab w:val="left" w:pos="720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Last date for submission of Proposal to SHS: …………………………</w:t>
      </w:r>
    </w:p>
    <w:p>
      <w:pPr>
        <w:numPr>
          <w:numId w:val="4"/>
          <w:ilvl w:val="0"/>
        </w:numPr>
        <w:jc w:val="both"/>
        <w:spacing w:lineRule="auto" w:line="275"/>
        <w:ind w:left="720" w:hanging="608"/>
        <w:tabs>
          <w:tab w:val="left" w:pos="720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Date of opening of financial bid: …………………………………………</w:t>
      </w:r>
    </w:p>
    <w:p>
      <w:pPr>
        <w:numPr>
          <w:numId w:val="4"/>
          <w:ilvl w:val="0"/>
        </w:numPr>
        <w:jc w:val="both"/>
        <w:spacing w:lineRule="auto" w:line="275"/>
        <w:ind w:left="720" w:hanging="608"/>
        <w:tabs>
          <w:tab w:val="left" w:pos="720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Venue   for   Pre-bid   Conference:   Pre-bid   Conference   would   be   held   at</w:t>
      </w:r>
    </w:p>
    <w:p>
      <w:pPr>
        <w:jc w:val="both"/>
        <w:spacing w:lineRule="auto" w:line="275"/>
        <w:ind w:left="72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…………………………..</w:t>
      </w:r>
    </w:p>
    <w:p>
      <w:pPr>
        <w:jc w:val="right"/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Mission Director,</w:t>
      </w:r>
    </w:p>
    <w:p>
      <w:pPr>
        <w:jc w:val="right"/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State Health Society..........</w:t>
      </w:r>
    </w:p>
    <w:p>
      <w:pPr>
        <w:spacing w:lineRule="auto" w:line="275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Address: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Mission Director,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SHS of ……., Government of ………….,</w:t>
      </w:r>
    </w:p>
    <w:p>
      <w:pPr>
        <w:spacing w:lineRule="auto" w:line="275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Email id:</w:t>
      </w:r>
    </w:p>
    <w:p>
      <w:pPr>
        <w:spacing w:lineRule="auto" w:line="275"/>
        <w:tabs>
          <w:tab w:val="left" w:pos="960"/>
        </w:tabs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FAX: &amp;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ab/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Phone:</w:t>
      </w:r>
    </w:p>
    <w:sectPr>
      <w15:footnoteColumns w:val="1"/>
      <w:pgSz w:w="12240" w:h="15840"/>
      <w:pgMar w:top="1177" w:left="1420" w:bottom="709" w:right="1420" w:header="0" w:footer="0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"/>
    <w:family w:val="roman"/>
    <w:pitch w:val="variable"/>
    <w:sig w:usb0="e00006ff" w:usb1="420024ff" w:usb2="02000000" w:usb3="00000000" w:csb0="0000019f" w:csb1="00000000"/>
  </w:font>
</w:fonts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250"/>
      <w:jc w:val="right"/>
      <w:pBdr>
        <w:top w:sz="4" w:space="1" w:color="D8D8D8" w:themeColor="background1" w:themeShade="D8" w:val="single"/>
      </w:pBdr>
      <w:rPr>
        <w:shd w:val="clear" w:color="auto" w:fill="auto"/>
      </w:rPr>
    </w:pPr>
    <w:r>
      <w:rPr>
        <w:shd w:val="clear" w:color="auto" w:fill="auto"/>
        <w:rFonts w:hint="eastAsia"/>
      </w:rPr>
      <w:fldChar w:fldCharType="begin"/>
    </w:r>
    <w:r>
      <w:rPr>
        <w:shd w:val="clear"/>
        <w:rFonts w:hint="eastAsia"/>
      </w:rPr>
      <w:instrText>PAGE  \* MERGEFORMAT</w:instrText>
    </w:r>
    <w:r>
      <w:fldChar w:fldCharType="separate"/>
    </w:r>
    <w:r>
      <w:rPr>
        <w:shd w:val="clear" w:color="auto" w:fill="auto"/>
      </w:rPr>
      <w:t>14</w:t>
    </w:r>
    <w:r>
      <w:rPr>
        <w:color w:val="auto"/>
        <w:shd w:val="clear" w:color="auto" w:fill="auto"/>
        <w:rFonts w:ascii="Nirmala UI" w:eastAsia="Nirmala UI" w:hAnsi="Nirmala UI" w:cs="Nirmala UI"/>
      </w:rPr>
      <w:fldChar w:fldCharType="end"/>
    </w:r>
    <w:r>
      <w:rPr>
        <w:shd w:val="clear" w:color="auto" w:fill="auto"/>
      </w:rPr>
      <w:t xml:space="preserve"> | </w:t>
    </w:r>
  </w:p>
  <w:p>
    <w:pPr>
      <w:pStyle w:val="PO250"/>
      <w:rPr>
        <w:shd w:val="clear" w:color="auto" w:fill="auto"/>
      </w:rPr>
    </w:pPr>
  </w:p>
</w:ft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jc w:val="center"/>
      <w:spacing w:lineRule="auto" w:line="275"/>
      <w:ind w:left="1" w:firstLine="0"/>
      <w:rPr>
        <w:b w:val="1"/>
        <w:sz w:val="24"/>
        <w:szCs w:val="24"/>
        <w:shd w:val="clear" w:color="auto" w:fill="auto"/>
        <w:rFonts w:ascii="Times New Roman" w:eastAsia="Times New Roman" w:hAnsi="Times New Roman" w:cs="Times New Roman"/>
      </w:rPr>
    </w:pPr>
  </w:p>
  <w:p>
    <w:pPr>
      <w:jc w:val="center"/>
      <w:spacing w:lineRule="auto" w:line="275"/>
      <w:ind w:left="1" w:firstLine="0"/>
      <w:rPr>
        <w:b w:val="1"/>
        <w:sz w:val="24"/>
        <w:szCs w:val="24"/>
        <w:shd w:val="clear" w:color="auto" w:fill="auto"/>
        <w:rFonts w:ascii="Times New Roman" w:eastAsia="Times New Roman" w:hAnsi="Times New Roman" w:cs="Times New Roman"/>
      </w:rPr>
    </w:pPr>
    <w:r>
      <w:rPr>
        <w:b w:val="1"/>
        <w:sz w:val="24"/>
        <w:szCs w:val="24"/>
        <w:shd w:val="clear" w:color="auto" w:fill="auto"/>
        <w:rFonts w:ascii="Times New Roman" w:eastAsia="Times New Roman" w:hAnsi="Times New Roman" w:cs="Times New Roman"/>
      </w:rPr>
      <w:t xml:space="preserve">REQUEST FOR PROPOSAL (RFP)</w:t>
    </w:r>
  </w:p>
  <w:p>
    <w:pPr>
      <w:jc w:val="center"/>
      <w:spacing w:lineRule="auto" w:line="275"/>
      <w:ind w:left="1" w:firstLine="0"/>
      <w:rPr>
        <w:b w:val="1"/>
        <w:sz w:val="24"/>
        <w:szCs w:val="24"/>
        <w:shd w:val="clear" w:color="auto" w:fill="auto"/>
        <w:rFonts w:ascii="Times New Roman" w:eastAsia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1F000014"/>
    <w:lvl w:ilvl="0">
      <w:lvlJc w:val="left"/>
      <w:numFmt w:val="lowerLetter"/>
      <w:start w:val="13"/>
      <w:suff w:val="tab"/>
      <w:pPr>
        <w:ind w:left="720" w:hanging="360"/>
        <w:rPr/>
      </w:pPr>
      <w:rPr>
        <w:b w:val="0"/>
        <w:shd w:val="clear" w:color="auto" w:fill="auto"/>
        <w:rFonts w:hint="default"/>
      </w:rPr>
      <w:lvlText w:val="%1)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 w:color="auto" w:fill="auto"/>
      </w:rPr>
      <w:lvlText w:val="%9."/>
    </w:lvl>
  </w:abstractNum>
  <w:abstractNum w:abstractNumId="1">
    <w:multiLevelType w:val="hybridMultilevel"/>
    <w:nsid w:val="2F000001"/>
    <w:tmpl w:val="1F002411"/>
    <w:lvl w:ilvl="0">
      <w:lvlJc w:val="left"/>
      <w:numFmt w:val="lowerLetter"/>
      <w:start w:val="7"/>
      <w:suff w:val="tab"/>
      <w:pPr>
        <w:ind w:left="720" w:hanging="360"/>
        <w:rPr/>
      </w:pPr>
      <w:rPr>
        <w:b w:val="0"/>
        <w:shd w:val="clear" w:color="auto" w:fill="auto"/>
        <w:rFonts w:hint="default"/>
      </w:rPr>
      <w:lvlText w:val="%1)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 w:color="auto" w:fill="auto"/>
      </w:rPr>
      <w:lvlText w:val="%9."/>
    </w:lvl>
  </w:abstractNum>
  <w:abstractNum w:abstractNumId="2">
    <w:multiLevelType w:val="hybridMultilevel"/>
    <w:nsid w:val="2F000002"/>
    <w:tmpl w:val="1F000C5F"/>
    <w:lvl w:ilvl="0">
      <w:lvlJc w:val="left"/>
      <w:numFmt w:val="decimal"/>
      <w:start w:val="1"/>
      <w:suff w:val="tab"/>
      <w:pPr>
        <w:ind w:left="720" w:hanging="360"/>
        <w:rPr/>
      </w:pPr>
      <w:rPr>
        <w:shd w:val="clear" w:color="auto" w:fill="auto"/>
      </w:rPr>
      <w:lvlText w:val="%1)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 w:color="auto" w:fill="auto"/>
      </w:rPr>
      <w:lvlText w:val="%9."/>
    </w:lvl>
  </w:abstractNum>
  <w:abstractNum w:abstractNumId="3">
    <w:multiLevelType w:val="hybridMultilevel"/>
    <w:nsid w:val="2F000003"/>
    <w:tmpl w:val="1F0033C2"/>
    <w:lvl w:ilvl="0">
      <w:lvlJc w:val="left"/>
      <w:numFmt w:val="lowerLetter"/>
      <w:start w:val="1"/>
      <w:suff w:val="tab"/>
      <w:pPr>
        <w:ind w:left="720" w:hanging="360"/>
        <w:rPr/>
      </w:pPr>
      <w:rPr>
        <w:shd w:val="clear" w:color="auto" w:fill="auto"/>
      </w:rPr>
      <w:lvlText w:val="%1)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 w:color="auto" w:fill="auto"/>
      </w:rPr>
      <w:lvlText w:val="%9."/>
    </w:lvl>
  </w:abstractNum>
  <w:abstractNum w:abstractNumId="4">
    <w:multiLevelType w:val="hybridMultilevel"/>
    <w:nsid w:val="2F000004"/>
    <w:tmpl w:val="1F002570"/>
    <w:lvl w:ilvl="0">
      <w:lvlJc w:val="left"/>
      <w:numFmt w:val="bullet"/>
      <w:start w:val="1"/>
      <w:suff w:val="tab"/>
      <w:pPr>
        <w:ind w:left="1080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5">
    <w:multiLevelType w:val="hybridMultilevel"/>
    <w:nsid w:val="2F000005"/>
    <w:tmpl w:val="1F001EB6"/>
    <w:lvl w:ilvl="0">
      <w:lvlJc w:val="left"/>
      <w:numFmt w:val="bullet"/>
      <w:start w:val="1"/>
      <w:suff w:val="tab"/>
      <w:pPr>
        <w:ind w:left="720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6">
    <w:multiLevelType w:val="hybridMultilevel"/>
    <w:nsid w:val="2F000006"/>
    <w:tmpl w:val="1F00166B"/>
    <w:lvl w:ilvl="0">
      <w:lvlJc w:val="left"/>
      <w:numFmt w:val="bullet"/>
      <w:start w:val="1"/>
      <w:suff w:val="tab"/>
      <w:pPr>
        <w:ind w:left="720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7">
    <w:multiLevelType w:val="hybridMultilevel"/>
    <w:nsid w:val="2F000007"/>
    <w:tmpl w:val="1F003957"/>
    <w:lvl w:ilvl="0">
      <w:lvlJc w:val="left"/>
      <w:numFmt w:val="bullet"/>
      <w:start w:val="1"/>
      <w:suff w:val="tab"/>
      <w:pPr>
        <w:ind w:left="1000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72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44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160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88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60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320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04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760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8">
    <w:multiLevelType w:val="hybridMultilevel"/>
    <w:nsid w:val="2F000008"/>
    <w:tmpl w:val="1F0034A9"/>
    <w:lvl w:ilvl="0">
      <w:lvlJc w:val="left"/>
      <w:numFmt w:val="decimal"/>
      <w:start w:val="1"/>
      <w:suff w:val="tab"/>
      <w:pPr>
        <w:ind w:left="720" w:hanging="360"/>
        <w:rPr/>
      </w:pPr>
      <w:rPr>
        <w:b w:val="0"/>
        <w:shd w:val="clear" w:color="auto" w:fill="auto"/>
      </w:rPr>
      <w:lvlText w:val="%1)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 w:color="auto" w:fill="auto"/>
      </w:rPr>
      <w:lvlText w:val="%9."/>
    </w:lvl>
  </w:abstractNum>
  <w:abstractNum w:abstractNumId="9">
    <w:multiLevelType w:val="hybridMultilevel"/>
    <w:nsid w:val="2F000009"/>
    <w:tmpl w:val="1F002FC8"/>
    <w:lvl w:ilvl="0">
      <w:lvlJc w:val="left"/>
      <w:numFmt w:val="bullet"/>
      <w:start w:val="1"/>
      <w:suff w:val="tab"/>
      <w:pPr>
        <w:ind w:left="720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10">
    <w:multiLevelType w:val="hybridMultilevel"/>
    <w:nsid w:val="2F00000A"/>
    <w:tmpl w:val="1F000B24"/>
    <w:lvl w:ilvl="0">
      <w:lvlJc w:val="left"/>
      <w:numFmt w:val="bullet"/>
      <w:start w:val="1"/>
      <w:suff w:val="tab"/>
      <w:pPr>
        <w:ind w:left="720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11">
    <w:multiLevelType w:val="hybridMultilevel"/>
    <w:nsid w:val="2F00000B"/>
    <w:tmpl w:val="1F0036F8"/>
    <w:lvl w:ilvl="0">
      <w:lvlJc w:val="left"/>
      <w:numFmt w:val="bullet"/>
      <w:start w:val="1"/>
      <w:suff w:val="tab"/>
      <w:pPr>
        <w:ind w:left="1080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12">
    <w:multiLevelType w:val="hybridMultilevel"/>
    <w:nsid w:val="2F00000C"/>
    <w:tmpl w:val="1F002D78"/>
    <w:lvl w:ilvl="0">
      <w:lvlJc w:val="left"/>
      <w:numFmt w:val="decimal"/>
      <w:start w:val="4"/>
      <w:suff w:val="tab"/>
      <w:rPr>
        <w:b w:val="0"/>
        <w:shd w:val="clear" w:color="auto" w:fill="auto"/>
      </w:rPr>
      <w:lvlText w:val="%1."/>
    </w:lvl>
    <w:lvl w:ilvl="1">
      <w:lvlJc w:val="left"/>
      <w:numFmt w:val="upperLetter"/>
      <w:start w:val="1"/>
      <w:suff w:val="tab"/>
      <w:rPr>
        <w:shd w:val="clear" w:color="auto" w:fill="auto"/>
      </w:rPr>
      <w:lvlText w:val="%2"/>
    </w:lvl>
    <w:lvl w:ilvl="2">
      <w:lvlJc w:val="left"/>
      <w:numFmt w:val="bullet"/>
      <w:start w:val="1"/>
      <w:suff w:val="tab"/>
      <w:rPr>
        <w:shd w:val="clear" w:color="auto" w:fill="auto"/>
      </w:rPr>
      <w:lvlText w:val="§"/>
    </w:lvl>
    <w:lvl w:ilvl="3">
      <w:lvlJc w:val="left"/>
      <w:numFmt w:val="bullet"/>
      <w:start w:val="1"/>
      <w:suff w:val="tab"/>
      <w:rPr>
        <w:shd w:val="clear" w:color="auto" w:fill="auto"/>
      </w:rPr>
      <w:lvlText w:val=""/>
    </w:lvl>
    <w:lvl w:ilvl="4">
      <w:lvlJc w:val="left"/>
      <w:numFmt w:val="bullet"/>
      <w:start w:val="1"/>
      <w:suff w:val="tab"/>
      <w:rPr>
        <w:shd w:val="clear" w:color="auto" w:fill="auto"/>
      </w:rPr>
      <w:lvlText w:val=""/>
    </w:lvl>
    <w:lvl w:ilvl="5">
      <w:lvlJc w:val="left"/>
      <w:numFmt w:val="bullet"/>
      <w:start w:val="1"/>
      <w:suff w:val="tab"/>
      <w:rPr>
        <w:shd w:val="clear" w:color="auto" w:fill="auto"/>
      </w:rPr>
      <w:lvlText w:val=""/>
    </w:lvl>
    <w:lvl w:ilvl="6">
      <w:lvlJc w:val="left"/>
      <w:numFmt w:val="bullet"/>
      <w:start w:val="1"/>
      <w:suff w:val="tab"/>
      <w:rPr>
        <w:shd w:val="clear" w:color="auto" w:fill="auto"/>
      </w:rPr>
      <w:lvlText w:val=""/>
    </w:lvl>
    <w:lvl w:ilvl="7">
      <w:lvlJc w:val="left"/>
      <w:numFmt w:val="bullet"/>
      <w:start w:val="1"/>
      <w:suff w:val="tab"/>
      <w:rPr>
        <w:shd w:val="clear" w:color="auto" w:fill="auto"/>
      </w:rPr>
      <w:lvlText w:val=""/>
    </w:lvl>
    <w:lvl w:ilvl="8">
      <w:lvlJc w:val="left"/>
      <w:numFmt w:val="bullet"/>
      <w:start w:val="1"/>
      <w:suff w:val="tab"/>
      <w:rPr>
        <w:shd w:val="clear" w:color="auto" w:fill="auto"/>
      </w:rPr>
      <w:lvlText w:val=""/>
    </w:lvl>
  </w:abstractNum>
  <w:abstractNum w:abstractNumId="13">
    <w:multiLevelType w:val="hybridMultilevel"/>
    <w:nsid w:val="2F00000D"/>
    <w:tmpl w:val="1F0020DD"/>
    <w:lvl w:ilvl="0">
      <w:lvlJc w:val="left"/>
      <w:numFmt w:val="decimal"/>
      <w:start w:val="5"/>
      <w:suff w:val="tab"/>
      <w:rPr>
        <w:shd w:val="clear" w:color="auto" w:fill="auto"/>
      </w:rPr>
      <w:lvlText w:val="%1."/>
    </w:lvl>
    <w:lvl w:ilvl="1">
      <w:lvlJc w:val="left"/>
      <w:numFmt w:val="lowerLetter"/>
      <w:start w:val="1"/>
      <w:suff w:val="tab"/>
      <w:pPr>
        <w:ind w:left="360" w:hanging="360"/>
        <w:rPr/>
      </w:pPr>
      <w:rPr>
        <w:shd w:val="clear" w:color="auto" w:fill="auto"/>
      </w:rPr>
      <w:lvlText w:val="%2)"/>
    </w:lvl>
    <w:lvl w:ilvl="2">
      <w:lvlJc w:val="left"/>
      <w:numFmt w:val="lowerLetter"/>
      <w:start w:val="1"/>
      <w:suff w:val="tab"/>
      <w:pPr>
        <w:ind w:left="360" w:hanging="360"/>
        <w:rPr/>
      </w:pPr>
      <w:rPr>
        <w:shd w:val="clear" w:color="auto" w:fill="auto"/>
      </w:rPr>
      <w:lvlText w:val="%3)"/>
    </w:lvl>
    <w:lvl w:ilvl="3">
      <w:lvlJc w:val="left"/>
      <w:numFmt w:val="bullet"/>
      <w:start w:val="1"/>
      <w:suff w:val="tab"/>
      <w:rPr>
        <w:shd w:val="clear" w:color="auto" w:fill="auto"/>
      </w:rPr>
      <w:lvlText w:val=""/>
    </w:lvl>
    <w:lvl w:ilvl="4">
      <w:lvlJc w:val="left"/>
      <w:numFmt w:val="bullet"/>
      <w:start w:val="1"/>
      <w:suff w:val="tab"/>
      <w:rPr>
        <w:shd w:val="clear" w:color="auto" w:fill="auto"/>
      </w:rPr>
      <w:lvlText w:val=""/>
    </w:lvl>
    <w:lvl w:ilvl="5">
      <w:lvlJc w:val="left"/>
      <w:numFmt w:val="bullet"/>
      <w:start w:val="1"/>
      <w:suff w:val="tab"/>
      <w:rPr>
        <w:shd w:val="clear" w:color="auto" w:fill="auto"/>
      </w:rPr>
      <w:lvlText w:val=""/>
    </w:lvl>
    <w:lvl w:ilvl="6">
      <w:lvlJc w:val="left"/>
      <w:numFmt w:val="bullet"/>
      <w:start w:val="1"/>
      <w:suff w:val="tab"/>
      <w:rPr>
        <w:shd w:val="clear" w:color="auto" w:fill="auto"/>
      </w:rPr>
      <w:lvlText w:val=""/>
    </w:lvl>
    <w:lvl w:ilvl="7">
      <w:lvlJc w:val="left"/>
      <w:numFmt w:val="bullet"/>
      <w:start w:val="1"/>
      <w:suff w:val="tab"/>
      <w:rPr>
        <w:shd w:val="clear" w:color="auto" w:fill="auto"/>
      </w:rPr>
      <w:lvlText w:val=""/>
    </w:lvl>
    <w:lvl w:ilvl="8">
      <w:lvlJc w:val="left"/>
      <w:numFmt w:val="bullet"/>
      <w:start w:val="1"/>
      <w:suff w:val="tab"/>
      <w:rPr>
        <w:shd w:val="clear" w:color="auto" w:fill="auto"/>
      </w:rPr>
      <w:lvlText w:val=""/>
    </w:lvl>
  </w:abstractNum>
  <w:abstractNum w:abstractNumId="14">
    <w:multiLevelType w:val="hybridMultilevel"/>
    <w:nsid w:val="2F00000E"/>
    <w:tmpl w:val="1F001374"/>
    <w:lvl w:ilvl="0">
      <w:lvlJc w:val="left"/>
      <w:numFmt w:val="decimal"/>
      <w:start w:val="1"/>
      <w:suff w:val="tab"/>
      <w:rPr>
        <w:shd w:val="clear" w:color="auto" w:fill="auto"/>
      </w:rPr>
      <w:lvlText w:val="%1"/>
    </w:lvl>
    <w:lvl w:ilvl="1">
      <w:lvlJc w:val="left"/>
      <w:numFmt w:val="decimal"/>
      <w:start w:val="7"/>
      <w:suff w:val="tab"/>
      <w:rPr>
        <w:shd w:val="clear" w:color="auto" w:fill="auto"/>
      </w:rPr>
      <w:lvlText w:val="%2."/>
    </w:lvl>
    <w:lvl w:ilvl="2">
      <w:lvlJc w:val="left"/>
      <w:numFmt w:val="lowerLetter"/>
      <w:start w:val="1"/>
      <w:suff w:val="tab"/>
      <w:rPr>
        <w:shd w:val="clear" w:color="auto" w:fill="auto"/>
      </w:rPr>
      <w:lvlText w:val="%3"/>
    </w:lvl>
    <w:lvl w:ilvl="3">
      <w:lvlJc w:val="left"/>
      <w:numFmt w:val="bullet"/>
      <w:start w:val="1"/>
      <w:suff w:val="tab"/>
      <w:rPr>
        <w:shd w:val="clear" w:color="auto" w:fill="auto"/>
      </w:rPr>
      <w:lvlText w:val=""/>
    </w:lvl>
    <w:lvl w:ilvl="4">
      <w:lvlJc w:val="left"/>
      <w:numFmt w:val="bullet"/>
      <w:start w:val="1"/>
      <w:suff w:val="tab"/>
      <w:rPr>
        <w:shd w:val="clear" w:color="auto" w:fill="auto"/>
      </w:rPr>
      <w:lvlText w:val=""/>
    </w:lvl>
    <w:lvl w:ilvl="5">
      <w:lvlJc w:val="left"/>
      <w:numFmt w:val="bullet"/>
      <w:start w:val="1"/>
      <w:suff w:val="tab"/>
      <w:rPr>
        <w:shd w:val="clear" w:color="auto" w:fill="auto"/>
      </w:rPr>
      <w:lvlText w:val=""/>
    </w:lvl>
    <w:lvl w:ilvl="6">
      <w:lvlJc w:val="left"/>
      <w:numFmt w:val="bullet"/>
      <w:start w:val="1"/>
      <w:suff w:val="tab"/>
      <w:rPr>
        <w:shd w:val="clear" w:color="auto" w:fill="auto"/>
      </w:rPr>
      <w:lvlText w:val=""/>
    </w:lvl>
    <w:lvl w:ilvl="7">
      <w:lvlJc w:val="left"/>
      <w:numFmt w:val="bullet"/>
      <w:start w:val="1"/>
      <w:suff w:val="tab"/>
      <w:rPr>
        <w:shd w:val="clear" w:color="auto" w:fill="auto"/>
      </w:rPr>
      <w:lvlText w:val=""/>
    </w:lvl>
    <w:lvl w:ilvl="8">
      <w:lvlJc w:val="left"/>
      <w:numFmt w:val="bullet"/>
      <w:start w:val="1"/>
      <w:suff w:val="tab"/>
      <w:rPr>
        <w:shd w:val="clear" w:color="auto" w:fill="auto"/>
      </w:rPr>
      <w:lvlText w:val=""/>
    </w:lvl>
  </w:abstractNum>
  <w:abstractNum w:abstractNumId="15">
    <w:multiLevelType w:val="hybridMultilevel"/>
    <w:nsid w:val="2F00000F"/>
    <w:tmpl w:val="1F0000F5"/>
    <w:lvl w:ilvl="0">
      <w:lvlJc w:val="left"/>
      <w:numFmt w:val="lowerRoman"/>
      <w:start w:val="1"/>
      <w:suff w:val="tab"/>
      <w:rPr>
        <w:shd w:val="clear" w:color="auto" w:fill="auto"/>
      </w:rPr>
      <w:lvlText w:val="%1."/>
    </w:lvl>
    <w:lvl w:ilvl="1">
      <w:lvlJc w:val="left"/>
      <w:numFmt w:val="bullet"/>
      <w:start w:val="1"/>
      <w:suff w:val="tab"/>
      <w:rPr>
        <w:shd w:val="clear" w:color="auto" w:fill="auto"/>
      </w:rPr>
      <w:lvlText w:val=""/>
    </w:lvl>
    <w:lvl w:ilvl="2">
      <w:lvlJc w:val="left"/>
      <w:numFmt w:val="bullet"/>
      <w:start w:val="1"/>
      <w:suff w:val="tab"/>
      <w:rPr>
        <w:shd w:val="clear" w:color="auto" w:fill="auto"/>
      </w:rPr>
      <w:lvlText w:val=""/>
    </w:lvl>
    <w:lvl w:ilvl="3">
      <w:lvlJc w:val="left"/>
      <w:numFmt w:val="bullet"/>
      <w:start w:val="1"/>
      <w:suff w:val="tab"/>
      <w:rPr>
        <w:shd w:val="clear" w:color="auto" w:fill="auto"/>
      </w:rPr>
      <w:lvlText w:val=""/>
    </w:lvl>
    <w:lvl w:ilvl="4">
      <w:lvlJc w:val="left"/>
      <w:numFmt w:val="bullet"/>
      <w:start w:val="1"/>
      <w:suff w:val="tab"/>
      <w:rPr>
        <w:shd w:val="clear" w:color="auto" w:fill="auto"/>
      </w:rPr>
      <w:lvlText w:val=""/>
    </w:lvl>
    <w:lvl w:ilvl="5">
      <w:lvlJc w:val="left"/>
      <w:numFmt w:val="bullet"/>
      <w:start w:val="1"/>
      <w:suff w:val="tab"/>
      <w:rPr>
        <w:shd w:val="clear" w:color="auto" w:fill="auto"/>
      </w:rPr>
      <w:lvlText w:val=""/>
    </w:lvl>
    <w:lvl w:ilvl="6">
      <w:lvlJc w:val="left"/>
      <w:numFmt w:val="bullet"/>
      <w:start w:val="1"/>
      <w:suff w:val="tab"/>
      <w:rPr>
        <w:shd w:val="clear" w:color="auto" w:fill="auto"/>
      </w:rPr>
      <w:lvlText w:val=""/>
    </w:lvl>
    <w:lvl w:ilvl="7">
      <w:lvlJc w:val="left"/>
      <w:numFmt w:val="bullet"/>
      <w:start w:val="1"/>
      <w:suff w:val="tab"/>
      <w:rPr>
        <w:shd w:val="clear" w:color="auto" w:fill="auto"/>
      </w:rPr>
      <w:lvlText w:val=""/>
    </w:lvl>
    <w:lvl w:ilvl="8">
      <w:lvlJc w:val="left"/>
      <w:numFmt w:val="bullet"/>
      <w:start w:val="1"/>
      <w:suff w:val="tab"/>
      <w:rPr>
        <w:shd w:val="clear" w:color="auto" w:fill="auto"/>
      </w:rPr>
      <w:lvlText w:val=""/>
    </w:lvl>
  </w:abstractNum>
  <w:abstractNum w:abstractNumId="16">
    <w:multiLevelType w:val="hybridMultilevel"/>
    <w:nsid w:val="2F000010"/>
    <w:tmpl w:val="1F0005D9"/>
    <w:lvl w:ilvl="0">
      <w:lvlJc w:val="left"/>
      <w:numFmt w:val="lowerLetter"/>
      <w:start w:val="6"/>
      <w:suff w:val="tab"/>
      <w:pPr>
        <w:ind w:left="720" w:hanging="360"/>
        <w:rPr/>
      </w:pPr>
      <w:rPr>
        <w:shd w:val="clear" w:color="auto" w:fill="auto"/>
        <w:rFonts w:hint="default"/>
      </w:rPr>
      <w:lvlText w:val="%1)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 w:color="auto" w:fill="auto"/>
      </w:rPr>
      <w:lvlText w:val="%9."/>
    </w:lvl>
  </w:abstractNum>
  <w:abstractNum w:abstractNumId="17">
    <w:multiLevelType w:val="hybridMultilevel"/>
    <w:nsid w:val="2F000011"/>
    <w:tmpl w:val="1F001753"/>
    <w:lvl w:ilvl="0">
      <w:lvlJc w:val="left"/>
      <w:numFmt w:val="lowerLetter"/>
      <w:start w:val="1"/>
      <w:suff w:val="tab"/>
      <w:pPr>
        <w:ind w:left="720" w:hanging="360"/>
        <w:rPr/>
      </w:pPr>
      <w:rPr>
        <w:shd w:val="clear" w:color="auto" w:fill="auto"/>
      </w:rPr>
      <w:lvlText w:val="%1)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 w:color="auto" w:fill="auto"/>
      </w:rPr>
      <w:lvlText w:val="%9."/>
    </w:lvl>
  </w:abstractNum>
  <w:abstractNum w:abstractNumId="18">
    <w:multiLevelType w:val="hybridMultilevel"/>
    <w:nsid w:val="2F000012"/>
    <w:tmpl w:val="1F00096D"/>
    <w:lvl w:ilvl="0">
      <w:lvlJc w:val="left"/>
      <w:numFmt w:val="lowerLetter"/>
      <w:start w:val="1"/>
      <w:suff w:val="tab"/>
      <w:pPr>
        <w:ind w:left="1080" w:hanging="360"/>
        <w:rPr/>
      </w:pPr>
      <w:rPr>
        <w:shd w:val="clear" w:color="auto" w:fill="auto"/>
      </w:rPr>
      <w:lvlText w:val="%1)"/>
    </w:lvl>
    <w:lvl w:ilvl="1">
      <w:lvlJc w:val="left"/>
      <w:numFmt w:val="lowerLetter"/>
      <w:start w:val="1"/>
      <w:suff w:val="tab"/>
      <w:pPr>
        <w:ind w:left="1800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520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3240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960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680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400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6120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840" w:hanging="180"/>
        <w:rPr/>
      </w:pPr>
      <w:rPr>
        <w:shd w:val="clear" w:color="auto" w:fill="auto"/>
      </w:rPr>
      <w:lvlText w:val="%9."/>
    </w:lvl>
  </w:abstractNum>
  <w:abstractNum w:abstractNumId="19">
    <w:multiLevelType w:val="hybridMultilevel"/>
    <w:nsid w:val="2F000013"/>
    <w:tmpl w:val="1F000A9E"/>
    <w:lvl w:ilvl="0">
      <w:lvlJc w:val="left"/>
      <w:numFmt w:val="bullet"/>
      <w:start w:val="1"/>
      <w:suff w:val="tab"/>
      <w:pPr>
        <w:ind w:left="720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20">
    <w:multiLevelType w:val="hybridMultilevel"/>
    <w:nsid w:val="2F000014"/>
    <w:tmpl w:val="1F003F43"/>
    <w:lvl w:ilvl="0">
      <w:lvlJc w:val="left"/>
      <w:numFmt w:val="bullet"/>
      <w:start w:val="1"/>
      <w:suff w:val="tab"/>
      <w:pPr>
        <w:ind w:left="1080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21">
    <w:multiLevelType w:val="hybridMultilevel"/>
    <w:nsid w:val="2F000015"/>
    <w:tmpl w:val="1F001C86"/>
    <w:lvl w:ilvl="0">
      <w:lvlJc w:val="left"/>
      <w:numFmt w:val="decimal"/>
      <w:start w:val="1"/>
      <w:suff w:val="tab"/>
      <w:pPr>
        <w:ind w:left="720" w:hanging="360"/>
        <w:rPr/>
      </w:pPr>
      <w:rPr>
        <w:shd w:val="clear" w:color="auto" w:fill="auto"/>
      </w:rPr>
      <w:lvlText w:val="%1)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 w:color="auto" w:fill="auto"/>
      </w:rPr>
      <w:lvlText w:val="%9."/>
    </w:lvl>
  </w:abstractNum>
  <w:abstractNum w:abstractNumId="22">
    <w:multiLevelType w:val="hybridMultilevel"/>
    <w:nsid w:val="2F000016"/>
    <w:tmpl w:val="1F00079F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hAnsi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</w:abstractNum>
  <w:abstractNum w:abstractNumId="23">
    <w:multiLevelType w:val="hybridMultilevel"/>
    <w:nsid w:val="2F000017"/>
    <w:tmpl w:val="1F00004C"/>
    <w:lvl w:ilvl="0">
      <w:lvlJc w:val="left"/>
      <w:numFmt w:val="decimal"/>
      <w:start w:val="1"/>
      <w:suff w:val="tab"/>
      <w:pPr>
        <w:ind w:left="720" w:hanging="360"/>
        <w:rPr/>
      </w:pPr>
      <w:rPr>
        <w:shd w:val="clear" w:color="auto" w:fill="auto"/>
      </w:rPr>
      <w:lvlText w:val="%1)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 w:color="auto" w:fill="auto"/>
      </w:rPr>
      <w:lvlText w:val="%9."/>
    </w:lvl>
  </w:abstractNum>
  <w:abstractNum w:abstractNumId="24">
    <w:multiLevelType w:val="hybridMultilevel"/>
    <w:nsid w:val="2F000018"/>
    <w:tmpl w:val="1F000092"/>
    <w:lvl w:ilvl="0">
      <w:lvlJc w:val="left"/>
      <w:numFmt w:val="lowerLetter"/>
      <w:start w:val="1"/>
      <w:suff w:val="tab"/>
      <w:pPr>
        <w:ind w:left="720" w:hanging="360"/>
        <w:rPr/>
      </w:pPr>
      <w:rPr>
        <w:b w:val="0"/>
        <w:shd w:val="clear" w:color="auto" w:fill="auto"/>
      </w:rPr>
      <w:lvlText w:val="%1)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 w:color="auto" w:fill="auto"/>
      </w:rPr>
      <w:lvlText w:val="%9."/>
    </w:lvl>
  </w:abstractNum>
  <w:abstractNum w:abstractNumId="25">
    <w:multiLevelType w:val="hybridMultilevel"/>
    <w:nsid w:val="2F000019"/>
    <w:tmpl w:val="1F00182F"/>
    <w:lvl w:ilvl="0">
      <w:lvlJc w:val="left"/>
      <w:numFmt w:val="bullet"/>
      <w:start w:val="1"/>
      <w:suff w:val="tab"/>
      <w:pPr>
        <w:ind w:left="1080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26">
    <w:multiLevelType w:val="hybridMultilevel"/>
    <w:nsid w:val="2F00001A"/>
    <w:tmpl w:val="1F002206"/>
    <w:lvl w:ilvl="0">
      <w:lvlJc w:val="left"/>
      <w:numFmt w:val="lowerLetter"/>
      <w:start w:val="9"/>
      <w:suff w:val="tab"/>
      <w:pPr>
        <w:ind w:left="720" w:hanging="360"/>
        <w:rPr/>
      </w:pPr>
      <w:rPr>
        <w:b w:val="0"/>
        <w:shd w:val="clear" w:color="auto" w:fill="auto"/>
        <w:rFonts w:hint="default"/>
      </w:rPr>
      <w:lvlText w:val="%1)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 w:color="auto" w:fill="auto"/>
      </w:rPr>
      <w:lvlText w:val="%9."/>
    </w:lvl>
  </w:abstractNum>
  <w:abstractNum w:abstractNumId="27">
    <w:multiLevelType w:val="hybridMultilevel"/>
    <w:nsid w:val="2F00001B"/>
    <w:tmpl w:val="1F00248E"/>
    <w:lvl w:ilvl="0">
      <w:lvlJc w:val="left"/>
      <w:numFmt w:val="bullet"/>
      <w:start w:val="1"/>
      <w:suff w:val="tab"/>
      <w:pPr>
        <w:ind w:left="1080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28">
    <w:multiLevelType w:val="hybridMultilevel"/>
    <w:nsid w:val="2F00001C"/>
    <w:tmpl w:val="1F002683"/>
    <w:lvl w:ilvl="0">
      <w:lvlJc w:val="left"/>
      <w:numFmt w:val="bullet"/>
      <w:start w:val="1"/>
      <w:suff w:val="tab"/>
      <w:pPr>
        <w:ind w:left="720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29">
    <w:multiLevelType w:val="hybridMultilevel"/>
    <w:nsid w:val="2F00001D"/>
    <w:tmpl w:val="1F0026DB"/>
    <w:lvl w:ilvl="0">
      <w:lvlJc w:val="left"/>
      <w:numFmt w:val="lowerLetter"/>
      <w:start w:val="5"/>
      <w:suff w:val="tab"/>
      <w:pPr>
        <w:ind w:left="720" w:hanging="360"/>
        <w:rPr/>
      </w:pPr>
      <w:rPr>
        <w:shd w:val="clear" w:color="auto" w:fill="auto"/>
        <w:rFonts w:hint="default"/>
      </w:rPr>
      <w:lvlText w:val="%1)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 w:color="auto" w:fill="auto"/>
      </w:rPr>
      <w:lvlText w:val="%9."/>
    </w:lvl>
  </w:abstractNum>
  <w:abstractNum w:abstractNumId="30">
    <w:multiLevelType w:val="hybridMultilevel"/>
    <w:nsid w:val="2F00001E"/>
    <w:tmpl w:val="1F000AA3"/>
    <w:lvl w:ilvl="0">
      <w:lvlJc w:val="left"/>
      <w:numFmt w:val="bullet"/>
      <w:start w:val="1"/>
      <w:suff w:val="tab"/>
      <w:pPr>
        <w:ind w:left="1713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2433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3153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873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4593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5313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6033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753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7473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31">
    <w:multiLevelType w:val="hybridMultilevel"/>
    <w:nsid w:val="2F00001F"/>
    <w:tmpl w:val="1F002A6F"/>
    <w:lvl w:ilvl="0">
      <w:lvlJc w:val="left"/>
      <w:numFmt w:val="bullet"/>
      <w:start w:val="1"/>
      <w:suff w:val="tab"/>
      <w:pPr>
        <w:ind w:left="720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32">
    <w:multiLevelType w:val="hybridMultilevel"/>
    <w:nsid w:val="2F000020"/>
    <w:tmpl w:val="1F001CD9"/>
    <w:lvl w:ilvl="0">
      <w:lvlJc w:val="left"/>
      <w:numFmt w:val="bullet"/>
      <w:start w:val="1"/>
      <w:suff w:val="tab"/>
      <w:pPr>
        <w:ind w:left="1080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80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33">
    <w:multiLevelType w:val="hybridMultilevel"/>
    <w:nsid w:val="2F000021"/>
    <w:tmpl w:val="1F001689"/>
    <w:lvl w:ilvl="0">
      <w:lvlJc w:val="left"/>
      <w:numFmt w:val="bullet"/>
      <w:start w:val="1"/>
      <w:suff w:val="tab"/>
      <w:pPr>
        <w:ind w:left="720" w:hanging="360"/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 w:color="auto" w:fill="auto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 w:color="auto" w:fill="auto"/>
        <w:rFonts w:ascii="Wingdings" w:hAnsi="Wingdings" w:hint="default"/>
      </w:rPr>
      <w:lvlText w:val="§"/>
    </w:lvl>
  </w:abstractNum>
  <w:abstractNum w:abstractNumId="34">
    <w:multiLevelType w:val="hybridMultilevel"/>
    <w:nsid w:val="2F000022"/>
    <w:tmpl w:val="1F0003A6"/>
    <w:lvl w:ilvl="0">
      <w:lvlJc w:val="left"/>
      <w:numFmt w:val="lowerRoman"/>
      <w:start w:val="1"/>
      <w:suff w:val="tab"/>
      <w:rPr>
        <w:shd w:val="clear" w:color="000000"/>
        <w:rFonts w:ascii="Nirmala UI" w:eastAsia="Nirmala UI" w:hAnsi="Nirmala UI" w:cs="Nirmala UI"/>
      </w:rPr>
      <w:lvlText w:val="%1."/>
    </w:lvl>
    <w:lvl w:ilvl="1">
      <w:lvlJc w:val="left"/>
      <w:numFmt w:val="bullet"/>
      <w:start w:val="1"/>
      <w:suff w:val="tab"/>
      <w:rPr>
        <w:shd w:val="clear" w:color="000000"/>
        <w:rFonts w:ascii="Nirmala UI" w:eastAsia="Nirmala UI" w:hAnsi="Nirmala UI" w:cs="Nirmala UI"/>
      </w:rPr>
      <w:lvlText w:val=""/>
    </w:lvl>
    <w:lvl w:ilvl="2">
      <w:lvlJc w:val="left"/>
      <w:numFmt w:val="bullet"/>
      <w:start w:val="1"/>
      <w:suff w:val="tab"/>
      <w:rPr>
        <w:shd w:val="clear" w:color="000000"/>
        <w:rFonts w:ascii="Nirmala UI" w:eastAsia="Nirmala UI" w:hAnsi="Nirmala UI" w:cs="Nirmala UI"/>
      </w:rPr>
      <w:lvlText w:val=""/>
    </w:lvl>
    <w:lvl w:ilvl="3">
      <w:lvlJc w:val="left"/>
      <w:numFmt w:val="bullet"/>
      <w:start w:val="1"/>
      <w:suff w:val="tab"/>
      <w:rPr>
        <w:shd w:val="clear" w:color="000000"/>
        <w:rFonts w:ascii="Nirmala UI" w:eastAsia="Nirmala UI" w:hAnsi="Nirmala UI" w:cs="Nirmala UI"/>
      </w:rPr>
      <w:lvlText w:val=""/>
    </w:lvl>
    <w:lvl w:ilvl="4">
      <w:lvlJc w:val="left"/>
      <w:numFmt w:val="bullet"/>
      <w:start w:val="1"/>
      <w:suff w:val="tab"/>
      <w:rPr>
        <w:shd w:val="clear" w:color="000000"/>
        <w:rFonts w:ascii="Nirmala UI" w:eastAsia="Nirmala UI" w:hAnsi="Nirmala UI" w:cs="Nirmala UI"/>
      </w:rPr>
      <w:lvlText w:val=""/>
    </w:lvl>
    <w:lvl w:ilvl="5">
      <w:lvlJc w:val="left"/>
      <w:numFmt w:val="bullet"/>
      <w:start w:val="1"/>
      <w:suff w:val="tab"/>
      <w:rPr>
        <w:shd w:val="clear" w:color="000000"/>
        <w:rFonts w:ascii="Nirmala UI" w:eastAsia="Nirmala UI" w:hAnsi="Nirmala UI" w:cs="Nirmala UI"/>
      </w:rPr>
      <w:lvlText w:val=""/>
    </w:lvl>
    <w:lvl w:ilvl="6">
      <w:lvlJc w:val="left"/>
      <w:numFmt w:val="bullet"/>
      <w:start w:val="1"/>
      <w:suff w:val="tab"/>
      <w:rPr>
        <w:shd w:val="clear" w:color="000000"/>
        <w:rFonts w:ascii="Nirmala UI" w:eastAsia="Nirmala UI" w:hAnsi="Nirmala UI" w:cs="Nirmala UI"/>
      </w:rPr>
      <w:lvlText w:val=""/>
    </w:lvl>
    <w:lvl w:ilvl="7">
      <w:lvlJc w:val="left"/>
      <w:numFmt w:val="bullet"/>
      <w:start w:val="1"/>
      <w:suff w:val="tab"/>
      <w:rPr>
        <w:shd w:val="clear" w:color="000000"/>
        <w:rFonts w:ascii="Nirmala UI" w:eastAsia="Nirmala UI" w:hAnsi="Nirmala UI" w:cs="Nirmala UI"/>
      </w:rPr>
      <w:lvlText w:val=""/>
    </w:lvl>
    <w:lvl w:ilvl="8">
      <w:lvlJc w:val="left"/>
      <w:numFmt w:val="bullet"/>
      <w:start w:val="1"/>
      <w:suff w:val="tab"/>
      <w:rPr>
        <w:shd w:val="clear" w:color="000000"/>
        <w:rFonts w:ascii="Nirmala UI" w:eastAsia="Nirmala UI" w:hAnsi="Nirmala UI" w:cs="Nirmala UI"/>
      </w:rPr>
      <w:lvlText w:val=""/>
    </w:lvl>
  </w:abstractNum>
  <w:abstractNum w:abstractNumId="35">
    <w:multiLevelType w:val="hybridMultilevel"/>
    <w:nsid w:val="2F000023"/>
    <w:tmpl w:val="1F0026E4"/>
    <w:lvl w:ilvl="0">
      <w:lvlJc w:val="left"/>
      <w:numFmt w:val="lowerRoman"/>
      <w:start w:val="7"/>
      <w:suff w:val="tab"/>
      <w:rPr>
        <w:b w:val="0"/>
        <w:shd w:val="clear" w:color="000000"/>
        <w:rFonts w:ascii="Nirmala UI" w:eastAsia="Nirmala UI" w:hAnsi="Nirmala UI" w:cs="Nirmala UI"/>
      </w:rPr>
      <w:lvlText w:val="%1."/>
    </w:lvl>
    <w:lvl w:ilvl="1">
      <w:lvlJc w:val="left"/>
      <w:numFmt w:val="lowerRoman"/>
      <w:start w:val="1"/>
      <w:suff w:val="tab"/>
      <w:rPr>
        <w:shd w:val="clear" w:color="000000"/>
        <w:rFonts w:ascii="Nirmala UI" w:eastAsia="Nirmala UI" w:hAnsi="Nirmala UI" w:cs="Nirmala UI"/>
      </w:rPr>
      <w:lvlText w:val="%2"/>
    </w:lvl>
    <w:lvl w:ilvl="2">
      <w:lvlJc w:val="left"/>
      <w:numFmt w:val="bullet"/>
      <w:start w:val="1"/>
      <w:suff w:val="tab"/>
      <w:rPr>
        <w:shd w:val="clear" w:color="000000"/>
        <w:rFonts w:ascii="Nirmala UI" w:eastAsia="Nirmala UI" w:hAnsi="Nirmala UI" w:cs="Nirmala UI"/>
      </w:rPr>
      <w:lvlText w:val=""/>
    </w:lvl>
    <w:lvl w:ilvl="3">
      <w:lvlJc w:val="left"/>
      <w:numFmt w:val="bullet"/>
      <w:start w:val="1"/>
      <w:suff w:val="tab"/>
      <w:rPr>
        <w:shd w:val="clear" w:color="000000"/>
        <w:rFonts w:ascii="Nirmala UI" w:eastAsia="Nirmala UI" w:hAnsi="Nirmala UI" w:cs="Nirmala UI"/>
      </w:rPr>
      <w:lvlText w:val=""/>
    </w:lvl>
    <w:lvl w:ilvl="4">
      <w:lvlJc w:val="left"/>
      <w:numFmt w:val="bullet"/>
      <w:start w:val="1"/>
      <w:suff w:val="tab"/>
      <w:rPr>
        <w:shd w:val="clear" w:color="000000"/>
        <w:rFonts w:ascii="Nirmala UI" w:eastAsia="Nirmala UI" w:hAnsi="Nirmala UI" w:cs="Nirmala UI"/>
      </w:rPr>
      <w:lvlText w:val=""/>
    </w:lvl>
    <w:lvl w:ilvl="5">
      <w:lvlJc w:val="left"/>
      <w:numFmt w:val="bullet"/>
      <w:start w:val="1"/>
      <w:suff w:val="tab"/>
      <w:rPr>
        <w:shd w:val="clear" w:color="000000"/>
        <w:rFonts w:ascii="Nirmala UI" w:eastAsia="Nirmala UI" w:hAnsi="Nirmala UI" w:cs="Nirmala UI"/>
      </w:rPr>
      <w:lvlText w:val=""/>
    </w:lvl>
    <w:lvl w:ilvl="6">
      <w:lvlJc w:val="left"/>
      <w:numFmt w:val="bullet"/>
      <w:start w:val="1"/>
      <w:suff w:val="tab"/>
      <w:rPr>
        <w:shd w:val="clear" w:color="000000"/>
        <w:rFonts w:ascii="Nirmala UI" w:eastAsia="Nirmala UI" w:hAnsi="Nirmala UI" w:cs="Nirmala UI"/>
      </w:rPr>
      <w:lvlText w:val=""/>
    </w:lvl>
    <w:lvl w:ilvl="7">
      <w:lvlJc w:val="left"/>
      <w:numFmt w:val="bullet"/>
      <w:start w:val="1"/>
      <w:suff w:val="tab"/>
      <w:rPr>
        <w:shd w:val="clear" w:color="000000"/>
        <w:rFonts w:ascii="Nirmala UI" w:eastAsia="Nirmala UI" w:hAnsi="Nirmala UI" w:cs="Nirmala UI"/>
      </w:rPr>
      <w:lvlText w:val=""/>
    </w:lvl>
    <w:lvl w:ilvl="8">
      <w:lvlJc w:val="left"/>
      <w:numFmt w:val="bullet"/>
      <w:start w:val="1"/>
      <w:suff w:val="tab"/>
      <w:rPr>
        <w:shd w:val="clear" w:color="000000"/>
        <w:rFonts w:ascii="Nirmala UI" w:eastAsia="Nirmala UI" w:hAnsi="Nirmala UI" w:cs="Nirmala UI"/>
      </w:rPr>
      <w:lvlText w:val=""/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5"/>
  </w:num>
  <w:num w:numId="5">
    <w:abstractNumId w:val="17"/>
  </w:num>
  <w:num w:numId="6">
    <w:abstractNumId w:val="30"/>
  </w:num>
  <w:num w:numId="7">
    <w:abstractNumId w:val="20"/>
  </w:num>
  <w:num w:numId="8">
    <w:abstractNumId w:val="33"/>
  </w:num>
  <w:num w:numId="9">
    <w:abstractNumId w:val="9"/>
  </w:num>
  <w:num w:numId="10">
    <w:abstractNumId w:val="6"/>
  </w:num>
  <w:num w:numId="11">
    <w:abstractNumId w:val="31"/>
  </w:num>
  <w:num w:numId="12">
    <w:abstractNumId w:val="28"/>
  </w:num>
  <w:num w:numId="13">
    <w:abstractNumId w:val="19"/>
  </w:num>
  <w:num w:numId="14">
    <w:abstractNumId w:val="5"/>
  </w:num>
  <w:num w:numId="15">
    <w:abstractNumId w:val="2"/>
  </w:num>
  <w:num w:numId="16">
    <w:abstractNumId w:val="10"/>
  </w:num>
  <w:num w:numId="17">
    <w:abstractNumId w:val="24"/>
  </w:num>
  <w:num w:numId="18">
    <w:abstractNumId w:val="11"/>
  </w:num>
  <w:num w:numId="19">
    <w:abstractNumId w:val="29"/>
  </w:num>
  <w:num w:numId="20">
    <w:abstractNumId w:val="27"/>
  </w:num>
  <w:num w:numId="21">
    <w:abstractNumId w:val="16"/>
  </w:num>
  <w:num w:numId="22">
    <w:abstractNumId w:val="25"/>
  </w:num>
  <w:num w:numId="23">
    <w:abstractNumId w:val="1"/>
  </w:num>
  <w:num w:numId="24">
    <w:abstractNumId w:val="32"/>
  </w:num>
  <w:num w:numId="25">
    <w:abstractNumId w:val="26"/>
  </w:num>
  <w:num w:numId="26">
    <w:abstractNumId w:val="4"/>
  </w:num>
  <w:num w:numId="27">
    <w:abstractNumId w:val="0"/>
  </w:num>
  <w:num w:numId="28">
    <w:abstractNumId w:val="23"/>
  </w:num>
  <w:num w:numId="29">
    <w:abstractNumId w:val="18"/>
  </w:num>
  <w:num w:numId="30">
    <w:abstractNumId w:val="22"/>
  </w:num>
  <w:num w:numId="31">
    <w:abstractNumId w:val="3"/>
  </w:num>
  <w:num w:numId="32">
    <w:abstractNumId w:val="8"/>
  </w:num>
  <w:num w:numId="33">
    <w:abstractNumId w:val="21"/>
  </w:num>
  <w:num w:numId="34">
    <w:abstractNumId w:val="7"/>
  </w:num>
  <w:num w:numId="35">
    <w:abstractNumId w:val="34"/>
  </w:num>
  <w:num w:numId="3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isplayBackgroundShape w:val="true"/>
  <w:defaultTabStop w:val="720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hd w:val="clear" w:color="auto" w:fill="auto"/>
        <w:rFonts w:ascii="Calibri" w:eastAsia="Calibri" w:hAnsi="Calibri" w:cs="Arial"/>
        <w:lang w:bidi="ar-SA" w:eastAsia="en-US" w:val="en-US"/>
      </w:rPr>
    </w:rPrDefault>
  </w:docDefaults>
  <w:style w:default="1" w:styleId="PO1" w:type="paragraph">
    <w:name w:val="Normal"/>
    <w:qFormat/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5" w:type="paragraph">
    <w:name w:val="No Spacing"/>
    <w:qFormat/>
    <w:uiPriority w:val="1"/>
  </w:style>
  <w:style w:styleId="PO9" w:type="paragraph">
    <w:name w:val="heading 3"/>
    <w:basedOn w:val="PO1"/>
    <w:link w:val="PO258"/>
    <w:qFormat/>
    <w:uiPriority w:val="9"/>
    <w:pPr>
      <w:spacing w:before="100" w:beforeAutospacing="1" w:after="100" w:afterAutospacing="1"/>
      <w:rPr/>
      <w:outlineLvl w:val="2"/>
    </w:pPr>
    <w:rPr>
      <w:b w:val="1"/>
      <w:sz w:val="27"/>
      <w:szCs w:val="27"/>
      <w:shd w:val="clear" w:color="auto" w:fill="auto"/>
      <w:rFonts w:ascii="Times New Roman" w:eastAsia="Times New Roman" w:hAnsi="Times New Roman" w:cs="Times New Roman"/>
      <w:lang w:eastAsia="en-IN" w:val="en-IN"/>
    </w:rPr>
  </w:style>
  <w:style w:styleId="PO20" w:type="character">
    <w:name w:val="Strong"/>
    <w:basedOn w:val="PO2"/>
    <w:qFormat/>
    <w:uiPriority w:val="22"/>
    <w:rPr>
      <w:b w:val="1"/>
      <w:shd w:val="clear" w:color="auto" w:fill="auto"/>
    </w:rPr>
  </w:style>
  <w:style w:styleId="PO26" w:type="paragraph">
    <w:name w:val="List Paragraph"/>
    <w:basedOn w:val="PO1"/>
    <w:link w:val="PO256"/>
    <w:qFormat/>
    <w:uiPriority w:val="34"/>
    <w:pPr>
      <w:contextualSpacing w:val="1"/>
      <w:ind w:left="720" w:firstLine="0"/>
      <w:rPr/>
    </w:pPr>
    <w:rPr>
      <w:shd w:val="clear"/>
    </w:rPr>
  </w:style>
  <w:style w:styleId="PO37" w:type="table">
    <w:name w:val="Table Grid"/>
    <w:basedOn w:val="PO3"/>
    <w:uiPriority w:val="39"/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</w:tblPr>
  </w:style>
  <w:style w:customStyle="1" w:styleId="PO121" w:type="table">
    <w:name w:val="List Table 5"/>
    <w:basedOn w:val="PO3"/>
    <w:rPr>
      <w:color w:val="FFFFFF" w:themeColor="background1"/>
      <w:shd w:val="clear" w:color="auto" w:fill="auto"/>
    </w:rPr>
    <w:tblPr>
      <w:tblBorders>
        <w:bottom w:val="single" w:color="000000" w:themeColor="text1" w:sz="24"/>
        <w:left w:val="single" w:color="000000" w:themeColor="text1" w:sz="24"/>
        <w:right w:val="single" w:color="000000" w:themeColor="text1" w:sz="24"/>
        <w:top w:val="single" w:color="000000" w:themeColor="text1" w:sz="24"/>
      </w:tblBorders>
      <w:tblStyleColBandSize w:val="1"/>
      <w:tblStyleRowBandSize w:val="1"/>
    </w:tblPr>
    <w:tcPr>
      <w:shd w:fill="000000" w:themeFill="text1" w:color="000000" w:val="clear"/>
    </w:tcPr>
    <w:tblStylePr w:type="band1Horz">
      <w:tblPr/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blPr/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blPr/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blPr/>
      <w:tcPr>
        <w:tcBorders>
          <w:top w:val="single" w:color="FFFFFF" w:themeColor="background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  <w:top w:val="nil"/>
        </w:tcBorders>
      </w:tcPr>
    </w:tblStylePr>
    <w:tblStylePr w:type="swCell">
      <w:tblPr/>
      <w:tcPr>
        <w:tcBorders>
          <w:right w:val="nil"/>
          <w:top w:val="nil"/>
        </w:tcBorders>
      </w:tcPr>
    </w:tblStylePr>
  </w:style>
  <w:style w:customStyle="1" w:styleId="PO122" w:type="table">
    <w:name w:val="List Table 5 Accent 1"/>
    <w:basedOn w:val="PO3"/>
    <w:rPr>
      <w:color w:val="FFFFFF" w:themeColor="background1"/>
      <w:shd w:val="clear" w:color="auto" w:fill="auto"/>
    </w:rPr>
    <w:tblPr>
      <w:tblBorders>
        <w:bottom w:val="single" w:color="4F81BD" w:themeColor="accent1" w:sz="24"/>
        <w:left w:val="single" w:color="4F81BD" w:themeColor="accent1" w:sz="24"/>
        <w:right w:val="single" w:color="4F81BD" w:themeColor="accent1" w:sz="24"/>
        <w:top w:val="single" w:color="4F81BD" w:themeColor="accent1" w:sz="24"/>
      </w:tblBorders>
      <w:tblStyleColBandSize w:val="1"/>
      <w:tblStyleRowBandSize w:val="1"/>
    </w:tblPr>
    <w:tcPr>
      <w:shd w:fill="4F81BD" w:themeFill="accent1" w:color="000000" w:val="clear"/>
    </w:tcPr>
    <w:tblStylePr w:type="band1Horz">
      <w:tblPr/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blPr/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blPr/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blPr/>
      <w:tcPr>
        <w:tcBorders>
          <w:top w:val="single" w:color="FFFFFF" w:themeColor="background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  <w:top w:val="nil"/>
        </w:tcBorders>
      </w:tcPr>
    </w:tblStylePr>
    <w:tblStylePr w:type="swCell">
      <w:tblPr/>
      <w:tcPr>
        <w:tcBorders>
          <w:right w:val="nil"/>
          <w:top w:val="nil"/>
        </w:tcBorders>
      </w:tcPr>
    </w:tblStylePr>
  </w:style>
  <w:style w:customStyle="1" w:styleId="PO123" w:type="table">
    <w:name w:val="List Table 5 Accent 2"/>
    <w:basedOn w:val="PO3"/>
    <w:rPr>
      <w:color w:val="FFFFFF" w:themeColor="background1"/>
      <w:shd w:val="clear" w:color="auto" w:fill="auto"/>
    </w:rPr>
    <w:tblPr>
      <w:tblBorders>
        <w:bottom w:val="single" w:color="C0504D" w:themeColor="accent2" w:sz="24"/>
        <w:left w:val="single" w:color="C0504D" w:themeColor="accent2" w:sz="24"/>
        <w:right w:val="single" w:color="C0504D" w:themeColor="accent2" w:sz="24"/>
        <w:top w:val="single" w:color="C0504D" w:themeColor="accent2" w:sz="24"/>
      </w:tblBorders>
      <w:tblStyleColBandSize w:val="1"/>
      <w:tblStyleRowBandSize w:val="1"/>
    </w:tblPr>
    <w:tcPr>
      <w:shd w:fill="C0504D" w:themeFill="accent2" w:color="000000" w:val="clear"/>
    </w:tcPr>
    <w:tblStylePr w:type="band1Horz">
      <w:tblPr/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blPr/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blPr/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blPr/>
      <w:tcPr>
        <w:tcBorders>
          <w:top w:val="single" w:color="FFFFFF" w:themeColor="background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  <w:top w:val="nil"/>
        </w:tcBorders>
      </w:tcPr>
    </w:tblStylePr>
    <w:tblStylePr w:type="swCell">
      <w:tblPr/>
      <w:tcPr>
        <w:tcBorders>
          <w:right w:val="nil"/>
          <w:top w:val="nil"/>
        </w:tcBorders>
      </w:tcPr>
    </w:tblStylePr>
  </w:style>
  <w:style w:customStyle="1" w:styleId="PO124" w:type="table">
    <w:name w:val="List Table 5 Accent 3"/>
    <w:basedOn w:val="PO3"/>
    <w:rPr>
      <w:color w:val="FFFFFF" w:themeColor="background1"/>
      <w:shd w:val="clear" w:color="auto" w:fill="auto"/>
    </w:rPr>
    <w:tblPr>
      <w:tblBorders>
        <w:bottom w:val="single" w:color="9BBB59" w:themeColor="accent3" w:sz="24"/>
        <w:left w:val="single" w:color="9BBB59" w:themeColor="accent3" w:sz="24"/>
        <w:right w:val="single" w:color="9BBB59" w:themeColor="accent3" w:sz="24"/>
        <w:top w:val="single" w:color="9BBB59" w:themeColor="accent3" w:sz="24"/>
      </w:tblBorders>
      <w:tblStyleColBandSize w:val="1"/>
      <w:tblStyleRowBandSize w:val="1"/>
    </w:tblPr>
    <w:tcPr>
      <w:shd w:fill="9BBB59" w:themeFill="accent3" w:color="000000" w:val="clear"/>
    </w:tcPr>
    <w:tblStylePr w:type="band1Horz">
      <w:tblPr/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blPr/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blPr/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blPr/>
      <w:tcPr>
        <w:tcBorders>
          <w:top w:val="single" w:color="FFFFFF" w:themeColor="background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  <w:top w:val="nil"/>
        </w:tcBorders>
      </w:tcPr>
    </w:tblStylePr>
    <w:tblStylePr w:type="swCell">
      <w:tblPr/>
      <w:tcPr>
        <w:tcBorders>
          <w:right w:val="nil"/>
          <w:top w:val="nil"/>
        </w:tcBorders>
      </w:tcPr>
    </w:tblStylePr>
  </w:style>
  <w:style w:customStyle="1" w:styleId="PO125" w:type="table">
    <w:name w:val="List Table 5 Accent 4"/>
    <w:basedOn w:val="PO3"/>
    <w:rPr>
      <w:color w:val="FFFFFF" w:themeColor="background1"/>
      <w:shd w:val="clear" w:color="auto" w:fill="auto"/>
    </w:rPr>
    <w:tblPr>
      <w:tblBorders>
        <w:bottom w:val="single" w:color="8064A2" w:themeColor="accent4" w:sz="24"/>
        <w:left w:val="single" w:color="8064A2" w:themeColor="accent4" w:sz="24"/>
        <w:right w:val="single" w:color="8064A2" w:themeColor="accent4" w:sz="24"/>
        <w:top w:val="single" w:color="8064A2" w:themeColor="accent4" w:sz="24"/>
      </w:tblBorders>
      <w:tblStyleColBandSize w:val="1"/>
      <w:tblStyleRowBandSize w:val="1"/>
    </w:tblPr>
    <w:tcPr>
      <w:shd w:fill="8064A2" w:themeFill="accent4" w:color="000000" w:val="clear"/>
    </w:tcPr>
    <w:tblStylePr w:type="band1Horz">
      <w:tblPr/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blPr/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blPr/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blPr/>
      <w:tcPr>
        <w:tcBorders>
          <w:top w:val="single" w:color="FFFFFF" w:themeColor="background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  <w:top w:val="nil"/>
        </w:tcBorders>
      </w:tcPr>
    </w:tblStylePr>
    <w:tblStylePr w:type="swCell">
      <w:tblPr/>
      <w:tcPr>
        <w:tcBorders>
          <w:right w:val="nil"/>
          <w:top w:val="nil"/>
        </w:tcBorders>
      </w:tcPr>
    </w:tblStylePr>
  </w:style>
  <w:style w:customStyle="1" w:styleId="PO126" w:type="table">
    <w:name w:val="List Table 5 Accent 5"/>
    <w:basedOn w:val="PO3"/>
    <w:rPr>
      <w:color w:val="FFFFFF" w:themeColor="background1"/>
      <w:shd w:val="clear" w:color="auto" w:fill="auto"/>
    </w:rPr>
    <w:tblPr>
      <w:tblBorders>
        <w:bottom w:val="single" w:color="4BACC6" w:themeColor="accent5" w:sz="24"/>
        <w:left w:val="single" w:color="4BACC6" w:themeColor="accent5" w:sz="24"/>
        <w:right w:val="single" w:color="4BACC6" w:themeColor="accent5" w:sz="24"/>
        <w:top w:val="single" w:color="4BACC6" w:themeColor="accent5" w:sz="24"/>
      </w:tblBorders>
      <w:tblStyleColBandSize w:val="1"/>
      <w:tblStyleRowBandSize w:val="1"/>
    </w:tblPr>
    <w:tcPr>
      <w:shd w:fill="4BACC6" w:themeFill="accent5" w:color="000000" w:val="clear"/>
    </w:tcPr>
    <w:tblStylePr w:type="band1Horz">
      <w:tblPr/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blPr/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blPr/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blPr/>
      <w:tcPr>
        <w:tcBorders>
          <w:top w:val="single" w:color="FFFFFF" w:themeColor="background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  <w:top w:val="nil"/>
        </w:tcBorders>
      </w:tcPr>
    </w:tblStylePr>
    <w:tblStylePr w:type="swCell">
      <w:tblPr/>
      <w:tcPr>
        <w:tcBorders>
          <w:right w:val="nil"/>
          <w:top w:val="nil"/>
        </w:tcBorders>
      </w:tcPr>
    </w:tblStylePr>
  </w:style>
  <w:style w:customStyle="1" w:styleId="PO127" w:type="table">
    <w:name w:val="List Table 5 Accent 6"/>
    <w:basedOn w:val="PO3"/>
    <w:rPr>
      <w:color w:val="FFFFFF" w:themeColor="background1"/>
      <w:shd w:val="clear" w:color="auto" w:fill="auto"/>
    </w:rPr>
    <w:tblPr>
      <w:tblBorders>
        <w:bottom w:val="single" w:color="F79646" w:themeColor="accent6" w:sz="24"/>
        <w:left w:val="single" w:color="F79646" w:themeColor="accent6" w:sz="24"/>
        <w:right w:val="single" w:color="F79646" w:themeColor="accent6" w:sz="24"/>
        <w:top w:val="single" w:color="F79646" w:themeColor="accent6" w:sz="24"/>
      </w:tblBorders>
      <w:tblStyleColBandSize w:val="1"/>
      <w:tblStyleRowBandSize w:val="1"/>
    </w:tblPr>
    <w:tcPr>
      <w:shd w:fill="F79646" w:themeFill="accent6" w:color="000000" w:val="clear"/>
    </w:tcPr>
    <w:tblStylePr w:type="band1Horz">
      <w:tblPr/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blPr/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blPr/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blPr/>
      <w:tcPr>
        <w:tcBorders>
          <w:top w:val="single" w:color="FFFFFF" w:themeColor="background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  <w:top w:val="nil"/>
        </w:tcBorders>
      </w:tcPr>
    </w:tblStylePr>
    <w:tblStylePr w:type="swCell">
      <w:tblPr/>
      <w:tcPr>
        <w:tcBorders>
          <w:right w:val="nil"/>
          <w:top w:val="nil"/>
        </w:tcBorders>
      </w:tcPr>
    </w:tblStylePr>
  </w:style>
  <w:style w:customStyle="1" w:styleId="PO142" w:type="table">
    <w:name w:val="Calendar1"/>
    <w:basedOn w:val="PO3"/>
    <w:rPr>
      <w:sz w:val="22"/>
      <w:szCs w:val="22"/>
      <w:shd w:val="clear" w:color="auto" w:fill="auto"/>
    </w:rPr>
    <w:tblPr>
      <w:tblStyleColBandSize w:val="1"/>
      <w:tblStyleRowBandSize w:val="1"/>
    </w:tblPr>
    <w:tblStylePr w:type="band1Horz">
      <w:tblPr/>
      <w:tcPr>
        <w:shd w:val="nil"/>
        <w:tcBorders>
          <w:bottom w:val="nil"/>
          <w:insideH w:val="nil"/>
          <w:insideV w:val="nil"/>
          <w:left w:val="nil"/>
          <w:right w:val="nil"/>
          <w:top w:val="nil"/>
          <w:tl2br w:val="nil"/>
          <w:tr2bl w:val="nil"/>
        </w:tcBorders>
      </w:tcPr>
    </w:tblStylePr>
    <w:tblStylePr w:type="band2Horz">
      <w:tblPr/>
      <w:tcPr>
        <w:shd w:val="nil"/>
        <w:tcBorders>
          <w:bottom w:val="single" w:color="000000" w:themeColor="text1" w:sz="24"/>
          <w:insideH w:val="nil"/>
          <w:insideV w:val="nil"/>
          <w:left w:val="nil"/>
          <w:right w:val="nil"/>
          <w:top w:val="single" w:color="000000" w:themeColor="text1" w:sz="24"/>
          <w:tl2br w:val="nil"/>
          <w:tr2bl w:val="nil"/>
        </w:tcBorders>
      </w:tcPr>
    </w:tblStylePr>
    <w:tblStylePr w:type="firstRow">
      <w:pPr>
        <w:spacing w:lineRule="auto" w:line="259"/>
        <w:rPr/>
      </w:pPr>
      <w:rPr>
        <w:i w:val="0"/>
        <w:b w:val="1"/>
        <w:color w:val="auto"/>
        <w:sz w:val="44"/>
        <w:szCs w:val="44"/>
        <w:shd w:val="clear" w:color="auto" w:fill="auto"/>
      </w:rPr>
      <w:tblPr/>
      <w:tcPr>
        <w:vAlign w:val="bottom"/>
      </w:tcPr>
    </w:tblStylePr>
    <w:tblStylePr w:type="lastRow">
      <w:tblPr/>
      <w:tcPr>
        <w:shd w:val="nil"/>
        <w:tcBorders>
          <w:bottom w:val="nil"/>
          <w:insideH w:val="nil"/>
          <w:insideV w:val="nil"/>
          <w:left w:val="nil"/>
          <w:right w:val="nil"/>
          <w:top w:val="nil"/>
          <w:tl2br w:val="nil"/>
          <w:tr2bl w:val="nil"/>
        </w:tcBorders>
      </w:tcPr>
    </w:tblStylePr>
  </w:style>
  <w:style w:customStyle="1" w:styleId="PO151" w:type="table">
    <w:name w:val="Table Grid Light1"/>
    <w:basedOn w:val="PO3"/>
    <w:uiPriority w:val="40"/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</w:tblPr>
  </w:style>
  <w:style w:customStyle="1" w:styleId="PO152" w:type="table">
    <w:name w:val="Plain Table 11"/>
    <w:basedOn w:val="PO3"/>
    <w:uiPriority w:val="41"/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StyleColBandSize w:val="1"/>
      <w:tblStyleRowBandSize w:val="1"/>
    </w:tblPr>
    <w:tblStylePr w:type="band1Horz">
      <w:tblPr/>
      <w:tcPr>
        <w:shd w:fill="F1F1F1" w:themeFill="background1" w:themeFillShade="F1" w:color="000000" w:val="clear"/>
      </w:tcPr>
    </w:tblStylePr>
    <w:tblStylePr w:type="band1Vert">
      <w:tblPr/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BEBEBE" w:themeColor="background1" w:themeShade="BE" w:sz="4"/>
        </w:tcBorders>
      </w:tcPr>
    </w:tblStylePr>
  </w:style>
  <w:style w:customStyle="1" w:styleId="PO153" w:type="table">
    <w:name w:val="Plain Table 21"/>
    <w:basedOn w:val="PO3"/>
    <w:uiPriority w:val="42"/>
    <w:tblPr>
      <w:tblBorders>
        <w:bottom w:val="single" w:color="808080" w:themeColor="text1" w:themeTint="7F" w:sz="4"/>
        <w:top w:val="single" w:color="808080" w:themeColor="text1" w:themeTint="7F" w:sz="4"/>
      </w:tblBorders>
      <w:tblStyleColBandSize w:val="1"/>
      <w:tblStyleRowBandSize w:val="1"/>
    </w:tblPr>
    <w:tblStylePr w:type="band1Horz">
      <w:tblPr/>
      <w:tcPr>
        <w:tcBorders>
          <w:bottom w:val="single" w:color="808080" w:themeColor="text1" w:themeTint="7F" w:sz="4"/>
          <w:top w:val="single" w:color="808080" w:themeColor="text1" w:themeTint="7F" w:sz="4"/>
        </w:tcBorders>
      </w:tcPr>
    </w:tblStylePr>
    <w:tblStylePr w:type="band1Vert">
      <w:tblPr/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band2Vert">
      <w:tblPr/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808080" w:themeColor="text1" w:themeTint="7F" w:sz="4"/>
        </w:tcBorders>
      </w:tcPr>
    </w:tblStylePr>
  </w:style>
  <w:style w:customStyle="1" w:styleId="PO154" w:type="table">
    <w:name w:val="Plain Table 31"/>
    <w:basedOn w:val="PO3"/>
    <w:uiPriority w:val="43"/>
    <w:tblPr>
      <w:tblStyleColBandSize w:val="1"/>
      <w:tblStyleRowBandSize w:val="1"/>
    </w:tblPr>
    <w:tblStylePr w:type="band1Horz">
      <w:tblPr/>
      <w:tcPr>
        <w:shd w:fill="F1F1F1" w:themeFill="background1" w:themeFillShade="F1" w:color="000000" w:val="clear"/>
      </w:tcPr>
    </w:tblStylePr>
    <w:tblStylePr w:type="band1Vert">
      <w:tblPr/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  <w:caps w:val="1"/>
      </w:rPr>
      <w:tblPr/>
      <w:tcPr>
        <w:tcBorders>
          <w:right w:val="single" w:color="808080" w:themeColor="text1" w:themeTint="7F" w:sz="4"/>
        </w:tcBorders>
      </w:tcPr>
    </w:tblStylePr>
    <w:tblStylePr w:type="firstRow">
      <w:rPr>
        <w:b w:val="1"/>
        <w:shd w:val="clear" w:color="auto" w:fill="auto"/>
        <w:caps w:val="1"/>
      </w:rPr>
      <w:tblPr/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  <w:caps w:val="1"/>
      </w:rPr>
      <w:tblPr/>
      <w:tcPr>
        <w:tcBorders>
          <w:left w:val="nil"/>
        </w:tcBorders>
      </w:tcPr>
    </w:tblStylePr>
    <w:tblStylePr w:type="lastRow">
      <w:rPr>
        <w:b w:val="1"/>
        <w:shd w:val="clear" w:color="auto" w:fill="auto"/>
        <w:caps w:val="1"/>
      </w:rPr>
      <w:tblPr/>
      <w:tcPr>
        <w:tcBorders>
          <w:top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customStyle="1" w:styleId="PO155" w:type="table">
    <w:name w:val="Plain Table 41"/>
    <w:basedOn w:val="PO3"/>
    <w:uiPriority w:val="44"/>
    <w:tblPr>
      <w:tblStyleColBandSize w:val="1"/>
      <w:tblStyleRowBandSize w:val="1"/>
    </w:tblPr>
    <w:tblStylePr w:type="band1Horz">
      <w:tblPr/>
      <w:tcPr>
        <w:shd w:fill="F1F1F1" w:themeFill="background1" w:themeFillShade="F1" w:color="000000" w:val="clear"/>
      </w:tcPr>
    </w:tblStylePr>
    <w:tblStylePr w:type="band1Vert">
      <w:tblPr/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customStyle="1" w:styleId="PO156" w:type="table">
    <w:name w:val="Plain Table 51"/>
    <w:basedOn w:val="PO3"/>
    <w:uiPriority w:val="45"/>
    <w:tblPr>
      <w:tblStyleColBandSize w:val="1"/>
      <w:tblStyleRowBandSize w:val="1"/>
    </w:tblPr>
    <w:tblStylePr w:type="band1Horz">
      <w:tblPr/>
      <w:tcPr>
        <w:shd w:fill="F1F1F1" w:themeFill="background1" w:themeFillShade="F1" w:color="000000" w:val="clear"/>
      </w:tcPr>
    </w:tblStylePr>
    <w:tblStylePr w:type="band1Vert">
      <w:tblPr/>
      <w:tcPr>
        <w:shd w:fill="F1F1F1" w:themeFill="background1" w:themeFillShade="F1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right w:val="single" w:color="808080" w:themeColor="text1" w:themeTint="7F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808080" w:themeColor="text1" w:themeTint="7F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left w:val="single" w:color="808080" w:themeColor="text1" w:themeTint="7F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top w:val="single" w:color="808080" w:themeColor="text1" w:themeTint="7F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customStyle="1" w:styleId="PO157" w:type="table">
    <w:name w:val="Grid Table 1 Light1"/>
    <w:basedOn w:val="PO3"/>
    <w:uiPriority w:val="46"/>
    <w:tblPr>
      <w:tblBorders>
        <w:bottom w:val="single" w:color="999999" w:themeColor="text1" w:themeTint="66" w:sz="4"/>
        <w:insideH w:val="single" w:color="999999" w:themeColor="text1" w:themeTint="66" w:sz="4"/>
        <w:insideV w:val="single" w:color="999999" w:themeColor="text1" w:themeTint="66" w:sz="4"/>
        <w:left w:val="single" w:color="999999" w:themeColor="text1" w:themeTint="66" w:sz="4"/>
        <w:right w:val="single" w:color="999999" w:themeColor="text1" w:themeTint="66" w:sz="4"/>
        <w:top w:val="single" w:color="999999" w:themeColor="text1" w:themeTint="66" w:sz="4"/>
      </w:tblBorders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666666" w:themeColor="text1" w:themeTint="99" w:sz="2"/>
        </w:tcBorders>
      </w:tcPr>
    </w:tblStylePr>
  </w:style>
  <w:style w:customStyle="1" w:styleId="PO158" w:type="table">
    <w:name w:val="Grid Table 1 Light - Accent 11"/>
    <w:basedOn w:val="PO3"/>
    <w:uiPriority w:val="46"/>
    <w:tblPr>
      <w:tblBorders>
        <w:bottom w:val="single" w:color="B9CDE5" w:themeColor="accent1" w:themeTint="66" w:sz="4"/>
        <w:insideH w:val="single" w:color="B9CDE5" w:themeColor="accent1" w:themeTint="66" w:sz="4"/>
        <w:insideV w:val="single" w:color="B9CDE5" w:themeColor="accent1" w:themeTint="66" w:sz="4"/>
        <w:left w:val="single" w:color="B9CDE5" w:themeColor="accent1" w:themeTint="66" w:sz="4"/>
        <w:right w:val="single" w:color="B9CDE5" w:themeColor="accent1" w:themeTint="66" w:sz="4"/>
        <w:top w:val="single" w:color="B9CDE5" w:themeColor="accent1" w:themeTint="66" w:sz="4"/>
      </w:tblBorders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95B3D7" w:themeColor="accent1" w:themeTint="99" w:sz="2"/>
        </w:tcBorders>
      </w:tcPr>
    </w:tblStylePr>
  </w:style>
  <w:style w:customStyle="1" w:styleId="PO159" w:type="table">
    <w:name w:val="Grid Table 1 Light - Accent 21"/>
    <w:basedOn w:val="PO3"/>
    <w:uiPriority w:val="46"/>
    <w:tblPr>
      <w:tblBorders>
        <w:bottom w:val="single" w:color="E6B9B8" w:themeColor="accent2" w:themeTint="66" w:sz="4"/>
        <w:insideH w:val="single" w:color="E6B9B8" w:themeColor="accent2" w:themeTint="66" w:sz="4"/>
        <w:insideV w:val="single" w:color="E6B9B8" w:themeColor="accent2" w:themeTint="66" w:sz="4"/>
        <w:left w:val="single" w:color="E6B9B8" w:themeColor="accent2" w:themeTint="66" w:sz="4"/>
        <w:right w:val="single" w:color="E6B9B8" w:themeColor="accent2" w:themeTint="66" w:sz="4"/>
        <w:top w:val="single" w:color="E6B9B8" w:themeColor="accent2" w:themeTint="66" w:sz="4"/>
      </w:tblBorders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D99694" w:themeColor="accent2" w:themeTint="99" w:sz="2"/>
        </w:tcBorders>
      </w:tcPr>
    </w:tblStylePr>
  </w:style>
  <w:style w:customStyle="1" w:styleId="PO160" w:type="table">
    <w:name w:val="Grid Table 1 Light - Accent 31"/>
    <w:basedOn w:val="PO3"/>
    <w:uiPriority w:val="46"/>
    <w:tblPr>
      <w:tblBorders>
        <w:bottom w:val="single" w:color="D7E4BD" w:themeColor="accent3" w:themeTint="66" w:sz="4"/>
        <w:insideH w:val="single" w:color="D7E4BD" w:themeColor="accent3" w:themeTint="66" w:sz="4"/>
        <w:insideV w:val="single" w:color="D7E4BD" w:themeColor="accent3" w:themeTint="66" w:sz="4"/>
        <w:left w:val="single" w:color="D7E4BD" w:themeColor="accent3" w:themeTint="66" w:sz="4"/>
        <w:right w:val="single" w:color="D7E4BD" w:themeColor="accent3" w:themeTint="66" w:sz="4"/>
        <w:top w:val="single" w:color="D7E4BD" w:themeColor="accent3" w:themeTint="66" w:sz="4"/>
      </w:tblBorders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C3D69B" w:themeColor="accent3" w:themeTint="99" w:sz="2"/>
        </w:tcBorders>
      </w:tcPr>
    </w:tblStylePr>
  </w:style>
  <w:style w:customStyle="1" w:styleId="PO161" w:type="table">
    <w:name w:val="Grid Table 1 Light - Accent 41"/>
    <w:basedOn w:val="PO3"/>
    <w:uiPriority w:val="46"/>
    <w:tblPr>
      <w:tblBorders>
        <w:bottom w:val="single" w:color="CCC1DA" w:themeColor="accent4" w:themeTint="66" w:sz="4"/>
        <w:insideH w:val="single" w:color="CCC1DA" w:themeColor="accent4" w:themeTint="66" w:sz="4"/>
        <w:insideV w:val="single" w:color="CCC1DA" w:themeColor="accent4" w:themeTint="66" w:sz="4"/>
        <w:left w:val="single" w:color="CCC1DA" w:themeColor="accent4" w:themeTint="66" w:sz="4"/>
        <w:right w:val="single" w:color="CCC1DA" w:themeColor="accent4" w:themeTint="66" w:sz="4"/>
        <w:top w:val="single" w:color="CCC1DA" w:themeColor="accent4" w:themeTint="66" w:sz="4"/>
      </w:tblBorders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B3A2C7" w:themeColor="accent4" w:themeTint="99" w:sz="2"/>
        </w:tcBorders>
      </w:tcPr>
    </w:tblStylePr>
  </w:style>
  <w:style w:customStyle="1" w:styleId="PO162" w:type="table">
    <w:name w:val="Grid Table 1 Light - Accent 51"/>
    <w:basedOn w:val="PO3"/>
    <w:uiPriority w:val="46"/>
    <w:tblPr>
      <w:tblBorders>
        <w:bottom w:val="single" w:color="B7DEE8" w:themeColor="accent5" w:themeTint="66" w:sz="4"/>
        <w:insideH w:val="single" w:color="B7DEE8" w:themeColor="accent5" w:themeTint="66" w:sz="4"/>
        <w:insideV w:val="single" w:color="B7DEE8" w:themeColor="accent5" w:themeTint="66" w:sz="4"/>
        <w:left w:val="single" w:color="B7DEE8" w:themeColor="accent5" w:themeTint="66" w:sz="4"/>
        <w:right w:val="single" w:color="B7DEE8" w:themeColor="accent5" w:themeTint="66" w:sz="4"/>
        <w:top w:val="single" w:color="B7DEE8" w:themeColor="accent5" w:themeTint="66" w:sz="4"/>
      </w:tblBorders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93CDDD" w:themeColor="accent5" w:themeTint="99" w:sz="2"/>
        </w:tcBorders>
      </w:tcPr>
    </w:tblStylePr>
  </w:style>
  <w:style w:customStyle="1" w:styleId="PO163" w:type="table">
    <w:name w:val="Grid Table 1 Light - Accent 61"/>
    <w:basedOn w:val="PO3"/>
    <w:uiPriority w:val="46"/>
    <w:tblPr>
      <w:tblBorders>
        <w:bottom w:val="single" w:color="FCD5B5" w:themeColor="accent6" w:themeTint="66" w:sz="4"/>
        <w:insideH w:val="single" w:color="FCD5B5" w:themeColor="accent6" w:themeTint="66" w:sz="4"/>
        <w:insideV w:val="single" w:color="FCD5B5" w:themeColor="accent6" w:themeTint="66" w:sz="4"/>
        <w:left w:val="single" w:color="FCD5B5" w:themeColor="accent6" w:themeTint="66" w:sz="4"/>
        <w:right w:val="single" w:color="FCD5B5" w:themeColor="accent6" w:themeTint="66" w:sz="4"/>
        <w:top w:val="single" w:color="FCD5B5" w:themeColor="accent6" w:themeTint="66" w:sz="4"/>
      </w:tblBorders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FAC090" w:themeColor="accent6" w:themeTint="99" w:sz="2"/>
        </w:tcBorders>
      </w:tcPr>
    </w:tblStylePr>
  </w:style>
  <w:style w:customStyle="1" w:styleId="PO164" w:type="table">
    <w:name w:val="Grid Table 21"/>
    <w:basedOn w:val="PO3"/>
    <w:uiPriority w:val="47"/>
    <w:tblPr>
      <w:tblBorders>
        <w:bottom w:val="single" w:color="666666" w:themeColor="text1" w:themeTint="99" w:sz="2"/>
        <w:insideH w:val="single" w:color="666666" w:themeColor="text1" w:themeTint="99" w:sz="2"/>
        <w:insideV w:val="single" w:color="666666" w:themeColor="text1" w:themeTint="99" w:sz="2"/>
        <w:top w:val="single" w:color="666666" w:themeColor="text1" w:themeTint="99" w:sz="2"/>
      </w:tblBorders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666666" w:themeColor="tex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top w:val="double" w:color="666666" w:themeColor="text1" w:themeTint="99" w:sz="2"/>
        </w:tcBorders>
      </w:tcPr>
    </w:tblStylePr>
  </w:style>
  <w:style w:customStyle="1" w:styleId="PO165" w:type="table">
    <w:name w:val="Grid Table 2 - Accent 11"/>
    <w:basedOn w:val="PO3"/>
    <w:uiPriority w:val="47"/>
    <w:tblPr>
      <w:tblBorders>
        <w:bottom w:val="single" w:color="95B3D7" w:themeColor="accent1" w:themeTint="99" w:sz="2"/>
        <w:insideH w:val="single" w:color="95B3D7" w:themeColor="accent1" w:themeTint="99" w:sz="2"/>
        <w:insideV w:val="single" w:color="95B3D7" w:themeColor="accent1" w:themeTint="99" w:sz="2"/>
        <w:top w:val="single" w:color="95B3D7" w:themeColor="accent1" w:themeTint="99" w:sz="2"/>
      </w:tblBorders>
      <w:tblStyleColBandSize w:val="1"/>
      <w:tblStyleRowBandSize w:val="1"/>
    </w:tbl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95B3D7" w:themeColor="accen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top w:val="double" w:color="95B3D7" w:themeColor="accent1" w:themeTint="99" w:sz="2"/>
        </w:tcBorders>
      </w:tcPr>
    </w:tblStylePr>
  </w:style>
  <w:style w:customStyle="1" w:styleId="PO166" w:type="table">
    <w:name w:val="Grid Table 2 - Accent 21"/>
    <w:basedOn w:val="PO3"/>
    <w:uiPriority w:val="47"/>
    <w:tblPr>
      <w:tblBorders>
        <w:bottom w:val="single" w:color="D99694" w:themeColor="accent2" w:themeTint="99" w:sz="2"/>
        <w:insideH w:val="single" w:color="D99694" w:themeColor="accent2" w:themeTint="99" w:sz="2"/>
        <w:insideV w:val="single" w:color="D99694" w:themeColor="accent2" w:themeTint="99" w:sz="2"/>
        <w:top w:val="single" w:color="D99694" w:themeColor="accent2" w:themeTint="99" w:sz="2"/>
      </w:tblBorders>
      <w:tblStyleColBandSize w:val="1"/>
      <w:tblStyleRowBandSize w:val="1"/>
    </w:tbl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D99694" w:themeColor="accent2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top w:val="double" w:color="D99694" w:themeColor="accent2" w:themeTint="99" w:sz="2"/>
        </w:tcBorders>
      </w:tcPr>
    </w:tblStylePr>
  </w:style>
  <w:style w:customStyle="1" w:styleId="PO167" w:type="table">
    <w:name w:val="Grid Table 2 - Accent 31"/>
    <w:basedOn w:val="PO3"/>
    <w:uiPriority w:val="47"/>
    <w:tblPr>
      <w:tblBorders>
        <w:bottom w:val="single" w:color="C3D69B" w:themeColor="accent3" w:themeTint="99" w:sz="2"/>
        <w:insideH w:val="single" w:color="C3D69B" w:themeColor="accent3" w:themeTint="99" w:sz="2"/>
        <w:insideV w:val="single" w:color="C3D69B" w:themeColor="accent3" w:themeTint="99" w:sz="2"/>
        <w:top w:val="single" w:color="C3D69B" w:themeColor="accent3" w:themeTint="99" w:sz="2"/>
      </w:tblBorders>
      <w:tblStyleColBandSize w:val="1"/>
      <w:tblStyleRowBandSize w:val="1"/>
    </w:tbl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3D69B" w:themeColor="accent3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top w:val="double" w:color="C3D69B" w:themeColor="accent3" w:themeTint="99" w:sz="2"/>
        </w:tcBorders>
      </w:tcPr>
    </w:tblStylePr>
  </w:style>
  <w:style w:customStyle="1" w:styleId="PO168" w:type="table">
    <w:name w:val="Grid Table 2 - Accent 41"/>
    <w:basedOn w:val="PO3"/>
    <w:uiPriority w:val="47"/>
    <w:tblPr>
      <w:tblBorders>
        <w:bottom w:val="single" w:color="B3A2C7" w:themeColor="accent4" w:themeTint="99" w:sz="2"/>
        <w:insideH w:val="single" w:color="B3A2C7" w:themeColor="accent4" w:themeTint="99" w:sz="2"/>
        <w:insideV w:val="single" w:color="B3A2C7" w:themeColor="accent4" w:themeTint="99" w:sz="2"/>
        <w:top w:val="single" w:color="B3A2C7" w:themeColor="accent4" w:themeTint="99" w:sz="2"/>
      </w:tblBorders>
      <w:tblStyleColBandSize w:val="1"/>
      <w:tblStyleRowBandSize w:val="1"/>
    </w:tbl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B3A2C7" w:themeColor="accent4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top w:val="double" w:color="B3A2C7" w:themeColor="accent4" w:themeTint="99" w:sz="2"/>
        </w:tcBorders>
      </w:tcPr>
    </w:tblStylePr>
  </w:style>
  <w:style w:customStyle="1" w:styleId="PO169" w:type="table">
    <w:name w:val="Grid Table 2 - Accent 51"/>
    <w:basedOn w:val="PO3"/>
    <w:uiPriority w:val="47"/>
    <w:tblPr>
      <w:tblBorders>
        <w:bottom w:val="single" w:color="93CDDD" w:themeColor="accent5" w:themeTint="99" w:sz="2"/>
        <w:insideH w:val="single" w:color="93CDDD" w:themeColor="accent5" w:themeTint="99" w:sz="2"/>
        <w:insideV w:val="single" w:color="93CDDD" w:themeColor="accent5" w:themeTint="99" w:sz="2"/>
        <w:top w:val="single" w:color="93CDDD" w:themeColor="accent5" w:themeTint="99" w:sz="2"/>
      </w:tblBorders>
      <w:tblStyleColBandSize w:val="1"/>
      <w:tblStyleRowBandSize w:val="1"/>
    </w:tbl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93CDDD" w:themeColor="accent5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top w:val="double" w:color="93CDDD" w:themeColor="accent5" w:themeTint="99" w:sz="2"/>
        </w:tcBorders>
      </w:tcPr>
    </w:tblStylePr>
  </w:style>
  <w:style w:customStyle="1" w:styleId="PO170" w:type="table">
    <w:name w:val="Grid Table 2 - Accent 61"/>
    <w:basedOn w:val="PO3"/>
    <w:uiPriority w:val="47"/>
    <w:tblPr>
      <w:tblBorders>
        <w:bottom w:val="single" w:color="FAC090" w:themeColor="accent6" w:themeTint="99" w:sz="2"/>
        <w:insideH w:val="single" w:color="FAC090" w:themeColor="accent6" w:themeTint="99" w:sz="2"/>
        <w:insideV w:val="single" w:color="FAC090" w:themeColor="accent6" w:themeTint="99" w:sz="2"/>
        <w:top w:val="single" w:color="FAC090" w:themeColor="accent6" w:themeTint="99" w:sz="2"/>
      </w:tblBorders>
      <w:tblStyleColBandSize w:val="1"/>
      <w:tblStyleRowBandSize w:val="1"/>
    </w:tbl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FAC090" w:themeColor="accent6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top w:val="double" w:color="FAC090" w:themeColor="accent6" w:themeTint="99" w:sz="2"/>
        </w:tcBorders>
      </w:tcPr>
    </w:tblStylePr>
  </w:style>
  <w:style w:customStyle="1" w:styleId="PO171" w:type="table">
    <w:name w:val="Grid Table 31"/>
    <w:basedOn w:val="PO3"/>
    <w:uiPriority w:val="48"/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666666" w:themeColor="text1" w:themeTint="99" w:sz="4"/>
        </w:tcBorders>
      </w:tcPr>
    </w:tblStylePr>
    <w:tblStylePr w:type="nwCell">
      <w:tblPr/>
      <w:tcPr>
        <w:tcBorders>
          <w:bottom w:val="single" w:color="666666" w:themeColor="text1" w:themeTint="99" w:sz="4"/>
        </w:tcBorders>
      </w:tcPr>
    </w:tblStylePr>
    <w:tblStylePr w:type="seCell">
      <w:tblPr/>
      <w:tcPr>
        <w:tcBorders>
          <w:top w:val="single" w:color="666666" w:themeColor="text1" w:themeTint="99" w:sz="4"/>
        </w:tcBorders>
      </w:tcPr>
    </w:tblStylePr>
    <w:tblStylePr w:type="swCell">
      <w:tblPr/>
      <w:tcPr>
        <w:tcBorders>
          <w:top w:val="single" w:color="666666" w:themeColor="text1" w:themeTint="99" w:sz="4"/>
        </w:tcBorders>
      </w:tcPr>
    </w:tblStylePr>
  </w:style>
  <w:style w:customStyle="1" w:styleId="PO172" w:type="table">
    <w:name w:val="Grid Table 3 - Accent 11"/>
    <w:basedOn w:val="PO3"/>
    <w:uiPriority w:val="48"/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StyleColBandSize w:val="1"/>
      <w:tblStyleRowBandSize w:val="1"/>
    </w:tbl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95B3D7" w:themeColor="accent1" w:themeTint="99" w:sz="4"/>
        </w:tcBorders>
      </w:tcPr>
    </w:tblStylePr>
    <w:tblStylePr w:type="nwCell">
      <w:tblPr/>
      <w:tcPr>
        <w:tcBorders>
          <w:bottom w:val="single" w:color="95B3D7" w:themeColor="accent1" w:themeTint="99" w:sz="4"/>
        </w:tcBorders>
      </w:tcPr>
    </w:tblStylePr>
    <w:tblStylePr w:type="seCell">
      <w:tblPr/>
      <w:tcPr>
        <w:tcBorders>
          <w:top w:val="single" w:color="95B3D7" w:themeColor="accent1" w:themeTint="99" w:sz="4"/>
        </w:tcBorders>
      </w:tcPr>
    </w:tblStylePr>
    <w:tblStylePr w:type="swCell">
      <w:tblPr/>
      <w:tcPr>
        <w:tcBorders>
          <w:top w:val="single" w:color="95B3D7" w:themeColor="accent1" w:themeTint="99" w:sz="4"/>
        </w:tcBorders>
      </w:tcPr>
    </w:tblStylePr>
  </w:style>
  <w:style w:customStyle="1" w:styleId="PO173" w:type="table">
    <w:name w:val="Grid Table 3 - Accent 21"/>
    <w:basedOn w:val="PO3"/>
    <w:uiPriority w:val="48"/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StyleColBandSize w:val="1"/>
      <w:tblStyleRowBandSize w:val="1"/>
    </w:tbl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D99694" w:themeColor="accent2" w:themeTint="99" w:sz="4"/>
        </w:tcBorders>
      </w:tcPr>
    </w:tblStylePr>
    <w:tblStylePr w:type="nwCell">
      <w:tblPr/>
      <w:tcPr>
        <w:tcBorders>
          <w:bottom w:val="single" w:color="D99694" w:themeColor="accent2" w:themeTint="99" w:sz="4"/>
        </w:tcBorders>
      </w:tcPr>
    </w:tblStylePr>
    <w:tblStylePr w:type="seCell">
      <w:tblPr/>
      <w:tcPr>
        <w:tcBorders>
          <w:top w:val="single" w:color="D99694" w:themeColor="accent2" w:themeTint="99" w:sz="4"/>
        </w:tcBorders>
      </w:tcPr>
    </w:tblStylePr>
    <w:tblStylePr w:type="swCell">
      <w:tblPr/>
      <w:tcPr>
        <w:tcBorders>
          <w:top w:val="single" w:color="D99694" w:themeColor="accent2" w:themeTint="99" w:sz="4"/>
        </w:tcBorders>
      </w:tcPr>
    </w:tblStylePr>
  </w:style>
  <w:style w:customStyle="1" w:styleId="PO174" w:type="table">
    <w:name w:val="Grid Table 3 - Accent 31"/>
    <w:basedOn w:val="PO3"/>
    <w:uiPriority w:val="48"/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StyleColBandSize w:val="1"/>
      <w:tblStyleRowBandSize w:val="1"/>
    </w:tbl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C3D69B" w:themeColor="accent3" w:themeTint="99" w:sz="4"/>
        </w:tcBorders>
      </w:tcPr>
    </w:tblStylePr>
    <w:tblStylePr w:type="nwCell">
      <w:tblPr/>
      <w:tcPr>
        <w:tcBorders>
          <w:bottom w:val="single" w:color="C3D69B" w:themeColor="accent3" w:themeTint="99" w:sz="4"/>
        </w:tcBorders>
      </w:tcPr>
    </w:tblStylePr>
    <w:tblStylePr w:type="seCell">
      <w:tblPr/>
      <w:tcPr>
        <w:tcBorders>
          <w:top w:val="single" w:color="C3D69B" w:themeColor="accent3" w:themeTint="99" w:sz="4"/>
        </w:tcBorders>
      </w:tcPr>
    </w:tblStylePr>
    <w:tblStylePr w:type="swCell">
      <w:tblPr/>
      <w:tcPr>
        <w:tcBorders>
          <w:top w:val="single" w:color="C3D69B" w:themeColor="accent3" w:themeTint="99" w:sz="4"/>
        </w:tcBorders>
      </w:tcPr>
    </w:tblStylePr>
  </w:style>
  <w:style w:customStyle="1" w:styleId="PO175" w:type="table">
    <w:name w:val="Grid Table 3 - Accent 41"/>
    <w:basedOn w:val="PO3"/>
    <w:uiPriority w:val="48"/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StyleColBandSize w:val="1"/>
      <w:tblStyleRowBandSize w:val="1"/>
    </w:tbl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B3A2C7" w:themeColor="accent4" w:themeTint="99" w:sz="4"/>
        </w:tcBorders>
      </w:tcPr>
    </w:tblStylePr>
    <w:tblStylePr w:type="nwCell">
      <w:tblPr/>
      <w:tcPr>
        <w:tcBorders>
          <w:bottom w:val="single" w:color="B3A2C7" w:themeColor="accent4" w:themeTint="99" w:sz="4"/>
        </w:tcBorders>
      </w:tcPr>
    </w:tblStylePr>
    <w:tblStylePr w:type="seCell">
      <w:tblPr/>
      <w:tcPr>
        <w:tcBorders>
          <w:top w:val="single" w:color="B3A2C7" w:themeColor="accent4" w:themeTint="99" w:sz="4"/>
        </w:tcBorders>
      </w:tcPr>
    </w:tblStylePr>
    <w:tblStylePr w:type="swCell">
      <w:tblPr/>
      <w:tcPr>
        <w:tcBorders>
          <w:top w:val="single" w:color="B3A2C7" w:themeColor="accent4" w:themeTint="99" w:sz="4"/>
        </w:tcBorders>
      </w:tcPr>
    </w:tblStylePr>
  </w:style>
  <w:style w:customStyle="1" w:styleId="PO176" w:type="table">
    <w:name w:val="Grid Table 3 - Accent 51"/>
    <w:basedOn w:val="PO3"/>
    <w:uiPriority w:val="48"/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StyleColBandSize w:val="1"/>
      <w:tblStyleRowBandSize w:val="1"/>
    </w:tbl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93CDDD" w:themeColor="accent5" w:themeTint="99" w:sz="4"/>
        </w:tcBorders>
      </w:tcPr>
    </w:tblStylePr>
    <w:tblStylePr w:type="nwCell">
      <w:tblPr/>
      <w:tcPr>
        <w:tcBorders>
          <w:bottom w:val="single" w:color="93CDDD" w:themeColor="accent5" w:themeTint="99" w:sz="4"/>
        </w:tcBorders>
      </w:tcPr>
    </w:tblStylePr>
    <w:tblStylePr w:type="seCell">
      <w:tblPr/>
      <w:tcPr>
        <w:tcBorders>
          <w:top w:val="single" w:color="93CDDD" w:themeColor="accent5" w:themeTint="99" w:sz="4"/>
        </w:tcBorders>
      </w:tcPr>
    </w:tblStylePr>
    <w:tblStylePr w:type="swCell">
      <w:tblPr/>
      <w:tcPr>
        <w:tcBorders>
          <w:top w:val="single" w:color="93CDDD" w:themeColor="accent5" w:themeTint="99" w:sz="4"/>
        </w:tcBorders>
      </w:tcPr>
    </w:tblStylePr>
  </w:style>
  <w:style w:customStyle="1" w:styleId="PO177" w:type="table">
    <w:name w:val="Grid Table 3 - Accent 61"/>
    <w:basedOn w:val="PO3"/>
    <w:uiPriority w:val="48"/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StyleColBandSize w:val="1"/>
      <w:tblStyleRowBandSize w:val="1"/>
    </w:tbl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FAC090" w:themeColor="accent6" w:themeTint="99" w:sz="4"/>
        </w:tcBorders>
      </w:tcPr>
    </w:tblStylePr>
    <w:tblStylePr w:type="nwCell">
      <w:tblPr/>
      <w:tcPr>
        <w:tcBorders>
          <w:bottom w:val="single" w:color="FAC090" w:themeColor="accent6" w:themeTint="99" w:sz="4"/>
        </w:tcBorders>
      </w:tcPr>
    </w:tblStylePr>
    <w:tblStylePr w:type="seCell">
      <w:tblPr/>
      <w:tcPr>
        <w:tcBorders>
          <w:top w:val="single" w:color="FAC090" w:themeColor="accent6" w:themeTint="99" w:sz="4"/>
        </w:tcBorders>
      </w:tcPr>
    </w:tblStylePr>
    <w:tblStylePr w:type="swCell">
      <w:tblPr/>
      <w:tcPr>
        <w:tcBorders>
          <w:top w:val="single" w:color="FAC090" w:themeColor="accent6" w:themeTint="99" w:sz="4"/>
        </w:tcBorders>
      </w:tcPr>
    </w:tblStylePr>
  </w:style>
  <w:style w:customStyle="1" w:styleId="PO178" w:type="table">
    <w:name w:val="Grid Table 41"/>
    <w:basedOn w:val="PO3"/>
    <w:uiPriority w:val="49"/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000000" w:themeColor="text1" w:sz="4"/>
          <w:insideH w:val="nil"/>
          <w:insideV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000000" w:themeColor="text1" w:sz="4"/>
        </w:tcBorders>
      </w:tcPr>
    </w:tblStylePr>
  </w:style>
  <w:style w:customStyle="1" w:styleId="PO179" w:type="table">
    <w:name w:val="Grid Table 4 - Accent 11"/>
    <w:basedOn w:val="PO3"/>
    <w:uiPriority w:val="49"/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StyleColBandSize w:val="1"/>
      <w:tblStyleRowBandSize w:val="1"/>
    </w:tbl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4F81BD" w:themeColor="accent1" w:sz="4"/>
          <w:insideH w:val="nil"/>
          <w:insideV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4F81BD" w:themeColor="accent1" w:sz="4"/>
        </w:tcBorders>
      </w:tcPr>
    </w:tblStylePr>
  </w:style>
  <w:style w:customStyle="1" w:styleId="PO180" w:type="table">
    <w:name w:val="Grid Table 4 - Accent 21"/>
    <w:basedOn w:val="PO3"/>
    <w:uiPriority w:val="49"/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StyleColBandSize w:val="1"/>
      <w:tblStyleRowBandSize w:val="1"/>
    </w:tbl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C0504D" w:themeColor="accent2" w:sz="4"/>
          <w:insideH w:val="nil"/>
          <w:insideV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C0504D" w:themeColor="accent2" w:sz="4"/>
        </w:tcBorders>
      </w:tcPr>
    </w:tblStylePr>
  </w:style>
  <w:style w:customStyle="1" w:styleId="PO181" w:type="table">
    <w:name w:val="Grid Table 4 - Accent 31"/>
    <w:basedOn w:val="PO3"/>
    <w:uiPriority w:val="49"/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StyleColBandSize w:val="1"/>
      <w:tblStyleRowBandSize w:val="1"/>
    </w:tbl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9BBB59" w:themeColor="accent3" w:sz="4"/>
          <w:insideH w:val="nil"/>
          <w:insideV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9BBB59" w:themeColor="accent3" w:sz="4"/>
        </w:tcBorders>
      </w:tcPr>
    </w:tblStylePr>
  </w:style>
  <w:style w:customStyle="1" w:styleId="PO182" w:type="table">
    <w:name w:val="Grid Table 4 - Accent 41"/>
    <w:basedOn w:val="PO3"/>
    <w:uiPriority w:val="49"/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StyleColBandSize w:val="1"/>
      <w:tblStyleRowBandSize w:val="1"/>
    </w:tbl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8064A2" w:themeColor="accent4" w:sz="4"/>
          <w:insideH w:val="nil"/>
          <w:insideV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8064A2" w:themeColor="accent4" w:sz="4"/>
        </w:tcBorders>
      </w:tcPr>
    </w:tblStylePr>
  </w:style>
  <w:style w:customStyle="1" w:styleId="PO183" w:type="table">
    <w:name w:val="Grid Table 4 - Accent 51"/>
    <w:basedOn w:val="PO3"/>
    <w:uiPriority w:val="49"/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StyleColBandSize w:val="1"/>
      <w:tblStyleRowBandSize w:val="1"/>
    </w:tbl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4BACC6" w:themeColor="accent5" w:sz="4"/>
          <w:insideH w:val="nil"/>
          <w:insideV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4BACC6" w:themeColor="accent5" w:sz="4"/>
        </w:tcBorders>
      </w:tcPr>
    </w:tblStylePr>
  </w:style>
  <w:style w:customStyle="1" w:styleId="PO184" w:type="table">
    <w:name w:val="Grid Table 4 - Accent 61"/>
    <w:basedOn w:val="PO3"/>
    <w:uiPriority w:val="49"/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StyleColBandSize w:val="1"/>
      <w:tblStyleRowBandSize w:val="1"/>
    </w:tbl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79646" w:themeColor="accent6" w:sz="4"/>
          <w:insideH w:val="nil"/>
          <w:insideV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F79646" w:themeColor="accent6" w:sz="4"/>
        </w:tcBorders>
      </w:tcPr>
    </w:tblStylePr>
  </w:style>
  <w:style w:customStyle="1" w:styleId="PO185" w:type="table">
    <w:name w:val="Grid Table 5 Dark1"/>
    <w:basedOn w:val="PO3"/>
    <w:uiPriority w:val="50"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StyleColBandSize w:val="1"/>
      <w:tblStyleRowBandSize w:val="1"/>
    </w:tblPr>
    <w:tcPr>
      <w:shd w:fill="CCCCCC" w:themeFill="text1" w:themeFillTint="33" w:color="000000" w:val="clear"/>
    </w:tcPr>
    <w:tblStylePr w:type="band1Horz">
      <w:tblPr/>
      <w:tcPr>
        <w:shd w:fill="999999" w:themeFill="text1" w:themeFillTint="66" w:color="000000" w:val="clear"/>
      </w:tcPr>
    </w:tblStylePr>
    <w:tblStylePr w:type="band1Vert">
      <w:tblPr/>
      <w:tcPr>
        <w:shd w:fill="999999" w:themeFill="tex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customStyle="1" w:styleId="PO186" w:type="table">
    <w:name w:val="Grid Table 5 Dark - Accent 11"/>
    <w:basedOn w:val="PO3"/>
    <w:uiPriority w:val="50"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StyleColBandSize w:val="1"/>
      <w:tblStyleRowBandSize w:val="1"/>
    </w:tblPr>
    <w:tcPr>
      <w:shd w:fill="DCE6F2" w:themeFill="accent1" w:themeFillTint="33" w:color="000000" w:val="clear"/>
    </w:tcPr>
    <w:tblStylePr w:type="band1Horz">
      <w:tblPr/>
      <w:tcPr>
        <w:shd w:fill="B9CDE5" w:themeFill="accent1" w:themeFillTint="66" w:color="000000" w:val="clear"/>
      </w:tcPr>
    </w:tblStylePr>
    <w:tblStylePr w:type="band1Vert">
      <w:tblPr/>
      <w:tcPr>
        <w:shd w:fill="B9CDE5" w:themeFill="accen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customStyle="1" w:styleId="PO187" w:type="table">
    <w:name w:val="Grid Table 5 Dark - Accent 21"/>
    <w:basedOn w:val="PO3"/>
    <w:uiPriority w:val="50"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StyleColBandSize w:val="1"/>
      <w:tblStyleRowBandSize w:val="1"/>
    </w:tblPr>
    <w:tcPr>
      <w:shd w:fill="F2DCDB" w:themeFill="accent2" w:themeFillTint="33" w:color="000000" w:val="clear"/>
    </w:tcPr>
    <w:tblStylePr w:type="band1Horz">
      <w:tblPr/>
      <w:tcPr>
        <w:shd w:fill="E6B9B8" w:themeFill="accent2" w:themeFillTint="66" w:color="000000" w:val="clear"/>
      </w:tcPr>
    </w:tblStylePr>
    <w:tblStylePr w:type="band1Vert">
      <w:tblPr/>
      <w:tcPr>
        <w:shd w:fill="E6B9B8" w:themeFill="accent2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customStyle="1" w:styleId="PO188" w:type="table">
    <w:name w:val="Grid Table 5 Dark - Accent 31"/>
    <w:basedOn w:val="PO3"/>
    <w:uiPriority w:val="50"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StyleColBandSize w:val="1"/>
      <w:tblStyleRowBandSize w:val="1"/>
    </w:tblPr>
    <w:tcPr>
      <w:shd w:fill="EBF1DE" w:themeFill="accent3" w:themeFillTint="33" w:color="000000" w:val="clear"/>
    </w:tcPr>
    <w:tblStylePr w:type="band1Horz">
      <w:tblPr/>
      <w:tcPr>
        <w:shd w:fill="D7E4BD" w:themeFill="accent3" w:themeFillTint="66" w:color="000000" w:val="clear"/>
      </w:tcPr>
    </w:tblStylePr>
    <w:tblStylePr w:type="band1Vert">
      <w:tblPr/>
      <w:tcPr>
        <w:shd w:fill="D7E4BD" w:themeFill="accent3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customStyle="1" w:styleId="PO189" w:type="table">
    <w:name w:val="Grid Table 5 Dark - Accent 41"/>
    <w:basedOn w:val="PO3"/>
    <w:uiPriority w:val="50"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StyleColBandSize w:val="1"/>
      <w:tblStyleRowBandSize w:val="1"/>
    </w:tblPr>
    <w:tcPr>
      <w:shd w:fill="E6E0EC" w:themeFill="accent4" w:themeFillTint="33" w:color="000000" w:val="clear"/>
    </w:tcPr>
    <w:tblStylePr w:type="band1Horz">
      <w:tblPr/>
      <w:tcPr>
        <w:shd w:fill="CCC1DA" w:themeFill="accent4" w:themeFillTint="66" w:color="000000" w:val="clear"/>
      </w:tcPr>
    </w:tblStylePr>
    <w:tblStylePr w:type="band1Vert">
      <w:tblPr/>
      <w:tcPr>
        <w:shd w:fill="CCC1DA" w:themeFill="accent4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customStyle="1" w:styleId="PO190" w:type="table">
    <w:name w:val="Grid Table 5 Dark - Accent 51"/>
    <w:basedOn w:val="PO3"/>
    <w:uiPriority w:val="50"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StyleColBandSize w:val="1"/>
      <w:tblStyleRowBandSize w:val="1"/>
    </w:tblPr>
    <w:tcPr>
      <w:shd w:fill="DBEEF4" w:themeFill="accent5" w:themeFillTint="33" w:color="000000" w:val="clear"/>
    </w:tcPr>
    <w:tblStylePr w:type="band1Horz">
      <w:tblPr/>
      <w:tcPr>
        <w:shd w:fill="B7DEE8" w:themeFill="accent5" w:themeFillTint="66" w:color="000000" w:val="clear"/>
      </w:tcPr>
    </w:tblStylePr>
    <w:tblStylePr w:type="band1Vert">
      <w:tblPr/>
      <w:tcPr>
        <w:shd w:fill="B7DEE8" w:themeFill="accent5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customStyle="1" w:styleId="PO191" w:type="table">
    <w:name w:val="Grid Table 5 Dark - Accent 61"/>
    <w:basedOn w:val="PO3"/>
    <w:uiPriority w:val="50"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StyleColBandSize w:val="1"/>
      <w:tblStyleRowBandSize w:val="1"/>
    </w:tblPr>
    <w:tcPr>
      <w:shd w:fill="FDEADA" w:themeFill="accent6" w:themeFillTint="33" w:color="000000" w:val="clear"/>
    </w:tcPr>
    <w:tblStylePr w:type="band1Horz">
      <w:tblPr/>
      <w:tcPr>
        <w:shd w:fill="FCD5B5" w:themeFill="accent6" w:themeFillTint="66" w:color="000000" w:val="clear"/>
      </w:tcPr>
    </w:tblStylePr>
    <w:tblStylePr w:type="band1Vert">
      <w:tblPr/>
      <w:tcPr>
        <w:shd w:fill="FCD5B5" w:themeFill="accent6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customStyle="1" w:styleId="PO192" w:type="table">
    <w:name w:val="Grid Table 6 Colorful1"/>
    <w:basedOn w:val="PO3"/>
    <w:uiPriority w:val="51"/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666666" w:themeColor="text1" w:themeTint="99" w:sz="4"/>
        </w:tcBorders>
      </w:tcPr>
    </w:tblStylePr>
  </w:style>
  <w:style w:customStyle="1" w:styleId="PO193" w:type="table">
    <w:name w:val="Grid Table 6 Colorful - Accent 11"/>
    <w:basedOn w:val="PO3"/>
    <w:uiPriority w:val="51"/>
    <w:rPr>
      <w:color w:val="365F91" w:themeColor="accent1" w:themeShade="BE"/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StyleColBandSize w:val="1"/>
      <w:tblStyleRowBandSize w:val="1"/>
    </w:tbl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95B3D7" w:themeColor="accent1" w:themeTint="99" w:sz="4"/>
        </w:tcBorders>
      </w:tcPr>
    </w:tblStylePr>
  </w:style>
  <w:style w:customStyle="1" w:styleId="PO194" w:type="table">
    <w:name w:val="Grid Table 6 Colorful - Accent 21"/>
    <w:basedOn w:val="PO3"/>
    <w:uiPriority w:val="51"/>
    <w:rPr>
      <w:color w:val="943634" w:themeColor="accent2" w:themeShade="BE"/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StyleColBandSize w:val="1"/>
      <w:tblStyleRowBandSize w:val="1"/>
    </w:tbl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D99694" w:themeColor="accent2" w:themeTint="99" w:sz="4"/>
        </w:tcBorders>
      </w:tcPr>
    </w:tblStylePr>
  </w:style>
  <w:style w:customStyle="1" w:styleId="PO195" w:type="table">
    <w:name w:val="Grid Table 6 Colorful - Accent 31"/>
    <w:basedOn w:val="PO3"/>
    <w:uiPriority w:val="51"/>
    <w:rPr>
      <w:color w:val="75913B" w:themeColor="accent3" w:themeShade="BE"/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StyleColBandSize w:val="1"/>
      <w:tblStyleRowBandSize w:val="1"/>
    </w:tbl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C3D69B" w:themeColor="accent3" w:themeTint="99" w:sz="4"/>
        </w:tcBorders>
      </w:tcPr>
    </w:tblStylePr>
  </w:style>
  <w:style w:customStyle="1" w:styleId="PO196" w:type="table">
    <w:name w:val="Grid Table 6 Colorful - Accent 41"/>
    <w:basedOn w:val="PO3"/>
    <w:uiPriority w:val="51"/>
    <w:rPr>
      <w:color w:val="5F497A" w:themeColor="accent4" w:themeShade="BE"/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StyleColBandSize w:val="1"/>
      <w:tblStyleRowBandSize w:val="1"/>
    </w:tbl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B3A2C7" w:themeColor="accent4" w:themeTint="99" w:sz="4"/>
        </w:tcBorders>
      </w:tcPr>
    </w:tblStylePr>
  </w:style>
  <w:style w:customStyle="1" w:styleId="PO197" w:type="table">
    <w:name w:val="Grid Table 6 Colorful - Accent 51"/>
    <w:basedOn w:val="PO3"/>
    <w:uiPriority w:val="51"/>
    <w:rPr>
      <w:color w:val="30849A" w:themeColor="accent5" w:themeShade="BE"/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StyleColBandSize w:val="1"/>
      <w:tblStyleRowBandSize w:val="1"/>
    </w:tbl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93CDDD" w:themeColor="accent5" w:themeTint="99" w:sz="4"/>
        </w:tcBorders>
      </w:tcPr>
    </w:tblStylePr>
  </w:style>
  <w:style w:customStyle="1" w:styleId="PO198" w:type="table">
    <w:name w:val="Grid Table 6 Colorful - Accent 61"/>
    <w:basedOn w:val="PO3"/>
    <w:uiPriority w:val="51"/>
    <w:rPr>
      <w:color w:val="E26B09" w:themeColor="accent6" w:themeShade="BE"/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StyleColBandSize w:val="1"/>
      <w:tblStyleRowBandSize w:val="1"/>
    </w:tbl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FAC090" w:themeColor="accent6" w:themeTint="99" w:sz="4"/>
        </w:tcBorders>
      </w:tcPr>
    </w:tblStylePr>
  </w:style>
  <w:style w:customStyle="1" w:styleId="PO199" w:type="table">
    <w:name w:val="Grid Table 7 Colorful1"/>
    <w:basedOn w:val="PO3"/>
    <w:uiPriority w:val="52"/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666666" w:themeColor="text1" w:themeTint="99" w:sz="4"/>
        </w:tcBorders>
      </w:tcPr>
    </w:tblStylePr>
    <w:tblStylePr w:type="nwCell">
      <w:tblPr/>
      <w:tcPr>
        <w:tcBorders>
          <w:bottom w:val="single" w:color="666666" w:themeColor="text1" w:themeTint="99" w:sz="4"/>
        </w:tcBorders>
      </w:tcPr>
    </w:tblStylePr>
    <w:tblStylePr w:type="seCell">
      <w:tblPr/>
      <w:tcPr>
        <w:tcBorders>
          <w:top w:val="single" w:color="666666" w:themeColor="text1" w:themeTint="99" w:sz="4"/>
        </w:tcBorders>
      </w:tcPr>
    </w:tblStylePr>
    <w:tblStylePr w:type="swCell">
      <w:tblPr/>
      <w:tcPr>
        <w:tcBorders>
          <w:top w:val="single" w:color="666666" w:themeColor="text1" w:themeTint="99" w:sz="4"/>
        </w:tcBorders>
      </w:tcPr>
    </w:tblStylePr>
  </w:style>
  <w:style w:customStyle="1" w:styleId="PO200" w:type="table">
    <w:name w:val="Grid Table 7 Colorful - Accent 11"/>
    <w:basedOn w:val="PO3"/>
    <w:uiPriority w:val="52"/>
    <w:rPr>
      <w:color w:val="365F91" w:themeColor="accent1" w:themeShade="BE"/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StyleColBandSize w:val="1"/>
      <w:tblStyleRowBandSize w:val="1"/>
    </w:tbl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95B3D7" w:themeColor="accent1" w:themeTint="99" w:sz="4"/>
        </w:tcBorders>
      </w:tcPr>
    </w:tblStylePr>
    <w:tblStylePr w:type="nwCell">
      <w:tblPr/>
      <w:tcPr>
        <w:tcBorders>
          <w:bottom w:val="single" w:color="95B3D7" w:themeColor="accent1" w:themeTint="99" w:sz="4"/>
        </w:tcBorders>
      </w:tcPr>
    </w:tblStylePr>
    <w:tblStylePr w:type="seCell">
      <w:tblPr/>
      <w:tcPr>
        <w:tcBorders>
          <w:top w:val="single" w:color="95B3D7" w:themeColor="accent1" w:themeTint="99" w:sz="4"/>
        </w:tcBorders>
      </w:tcPr>
    </w:tblStylePr>
    <w:tblStylePr w:type="swCell">
      <w:tblPr/>
      <w:tcPr>
        <w:tcBorders>
          <w:top w:val="single" w:color="95B3D7" w:themeColor="accent1" w:themeTint="99" w:sz="4"/>
        </w:tcBorders>
      </w:tcPr>
    </w:tblStylePr>
  </w:style>
  <w:style w:customStyle="1" w:styleId="PO201" w:type="table">
    <w:name w:val="Grid Table 7 Colorful - Accent 21"/>
    <w:basedOn w:val="PO3"/>
    <w:uiPriority w:val="52"/>
    <w:rPr>
      <w:color w:val="943634" w:themeColor="accent2" w:themeShade="BE"/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StyleColBandSize w:val="1"/>
      <w:tblStyleRowBandSize w:val="1"/>
    </w:tbl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D99694" w:themeColor="accent2" w:themeTint="99" w:sz="4"/>
        </w:tcBorders>
      </w:tcPr>
    </w:tblStylePr>
    <w:tblStylePr w:type="nwCell">
      <w:tblPr/>
      <w:tcPr>
        <w:tcBorders>
          <w:bottom w:val="single" w:color="D99694" w:themeColor="accent2" w:themeTint="99" w:sz="4"/>
        </w:tcBorders>
      </w:tcPr>
    </w:tblStylePr>
    <w:tblStylePr w:type="seCell">
      <w:tblPr/>
      <w:tcPr>
        <w:tcBorders>
          <w:top w:val="single" w:color="D99694" w:themeColor="accent2" w:themeTint="99" w:sz="4"/>
        </w:tcBorders>
      </w:tcPr>
    </w:tblStylePr>
    <w:tblStylePr w:type="swCell">
      <w:tblPr/>
      <w:tcPr>
        <w:tcBorders>
          <w:top w:val="single" w:color="D99694" w:themeColor="accent2" w:themeTint="99" w:sz="4"/>
        </w:tcBorders>
      </w:tcPr>
    </w:tblStylePr>
  </w:style>
  <w:style w:customStyle="1" w:styleId="PO202" w:type="table">
    <w:name w:val="Grid Table 7 Colorful - Accent 31"/>
    <w:basedOn w:val="PO3"/>
    <w:uiPriority w:val="52"/>
    <w:rPr>
      <w:color w:val="75913B" w:themeColor="accent3" w:themeShade="BE"/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StyleColBandSize w:val="1"/>
      <w:tblStyleRowBandSize w:val="1"/>
    </w:tbl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C3D69B" w:themeColor="accent3" w:themeTint="99" w:sz="4"/>
        </w:tcBorders>
      </w:tcPr>
    </w:tblStylePr>
    <w:tblStylePr w:type="nwCell">
      <w:tblPr/>
      <w:tcPr>
        <w:tcBorders>
          <w:bottom w:val="single" w:color="C3D69B" w:themeColor="accent3" w:themeTint="99" w:sz="4"/>
        </w:tcBorders>
      </w:tcPr>
    </w:tblStylePr>
    <w:tblStylePr w:type="seCell">
      <w:tblPr/>
      <w:tcPr>
        <w:tcBorders>
          <w:top w:val="single" w:color="C3D69B" w:themeColor="accent3" w:themeTint="99" w:sz="4"/>
        </w:tcBorders>
      </w:tcPr>
    </w:tblStylePr>
    <w:tblStylePr w:type="swCell">
      <w:tblPr/>
      <w:tcPr>
        <w:tcBorders>
          <w:top w:val="single" w:color="C3D69B" w:themeColor="accent3" w:themeTint="99" w:sz="4"/>
        </w:tcBorders>
      </w:tcPr>
    </w:tblStylePr>
  </w:style>
  <w:style w:customStyle="1" w:styleId="PO203" w:type="table">
    <w:name w:val="Grid Table 7 Colorful - Accent 41"/>
    <w:basedOn w:val="PO3"/>
    <w:uiPriority w:val="52"/>
    <w:rPr>
      <w:color w:val="5F497A" w:themeColor="accent4" w:themeShade="BE"/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StyleColBandSize w:val="1"/>
      <w:tblStyleRowBandSize w:val="1"/>
    </w:tbl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B3A2C7" w:themeColor="accent4" w:themeTint="99" w:sz="4"/>
        </w:tcBorders>
      </w:tcPr>
    </w:tblStylePr>
    <w:tblStylePr w:type="nwCell">
      <w:tblPr/>
      <w:tcPr>
        <w:tcBorders>
          <w:bottom w:val="single" w:color="B3A2C7" w:themeColor="accent4" w:themeTint="99" w:sz="4"/>
        </w:tcBorders>
      </w:tcPr>
    </w:tblStylePr>
    <w:tblStylePr w:type="seCell">
      <w:tblPr/>
      <w:tcPr>
        <w:tcBorders>
          <w:top w:val="single" w:color="B3A2C7" w:themeColor="accent4" w:themeTint="99" w:sz="4"/>
        </w:tcBorders>
      </w:tcPr>
    </w:tblStylePr>
    <w:tblStylePr w:type="swCell">
      <w:tblPr/>
      <w:tcPr>
        <w:tcBorders>
          <w:top w:val="single" w:color="B3A2C7" w:themeColor="accent4" w:themeTint="99" w:sz="4"/>
        </w:tcBorders>
      </w:tcPr>
    </w:tblStylePr>
  </w:style>
  <w:style w:customStyle="1" w:styleId="PO204" w:type="table">
    <w:name w:val="Grid Table 7 Colorful - Accent 51"/>
    <w:basedOn w:val="PO3"/>
    <w:uiPriority w:val="52"/>
    <w:rPr>
      <w:color w:val="30849A" w:themeColor="accent5" w:themeShade="BE"/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StyleColBandSize w:val="1"/>
      <w:tblStyleRowBandSize w:val="1"/>
    </w:tbl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93CDDD" w:themeColor="accent5" w:themeTint="99" w:sz="4"/>
        </w:tcBorders>
      </w:tcPr>
    </w:tblStylePr>
    <w:tblStylePr w:type="nwCell">
      <w:tblPr/>
      <w:tcPr>
        <w:tcBorders>
          <w:bottom w:val="single" w:color="93CDDD" w:themeColor="accent5" w:themeTint="99" w:sz="4"/>
        </w:tcBorders>
      </w:tcPr>
    </w:tblStylePr>
    <w:tblStylePr w:type="seCell">
      <w:tblPr/>
      <w:tcPr>
        <w:tcBorders>
          <w:top w:val="single" w:color="93CDDD" w:themeColor="accent5" w:themeTint="99" w:sz="4"/>
        </w:tcBorders>
      </w:tcPr>
    </w:tblStylePr>
    <w:tblStylePr w:type="swCell">
      <w:tblPr/>
      <w:tcPr>
        <w:tcBorders>
          <w:top w:val="single" w:color="93CDDD" w:themeColor="accent5" w:themeTint="99" w:sz="4"/>
        </w:tcBorders>
      </w:tcPr>
    </w:tblStylePr>
  </w:style>
  <w:style w:customStyle="1" w:styleId="PO205" w:type="table">
    <w:name w:val="Grid Table 7 Colorful - Accent 61"/>
    <w:basedOn w:val="PO3"/>
    <w:uiPriority w:val="52"/>
    <w:rPr>
      <w:color w:val="E26B09" w:themeColor="accent6" w:themeShade="BE"/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StyleColBandSize w:val="1"/>
      <w:tblStyleRowBandSize w:val="1"/>
    </w:tbl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FAC090" w:themeColor="accent6" w:themeTint="99" w:sz="4"/>
        </w:tcBorders>
      </w:tcPr>
    </w:tblStylePr>
    <w:tblStylePr w:type="nwCell">
      <w:tblPr/>
      <w:tcPr>
        <w:tcBorders>
          <w:bottom w:val="single" w:color="FAC090" w:themeColor="accent6" w:themeTint="99" w:sz="4"/>
        </w:tcBorders>
      </w:tcPr>
    </w:tblStylePr>
    <w:tblStylePr w:type="seCell">
      <w:tblPr/>
      <w:tcPr>
        <w:tcBorders>
          <w:top w:val="single" w:color="FAC090" w:themeColor="accent6" w:themeTint="99" w:sz="4"/>
        </w:tcBorders>
      </w:tcPr>
    </w:tblStylePr>
    <w:tblStylePr w:type="swCell">
      <w:tblPr/>
      <w:tcPr>
        <w:tcBorders>
          <w:top w:val="single" w:color="FAC090" w:themeColor="accent6" w:themeTint="99" w:sz="4"/>
        </w:tcBorders>
      </w:tcPr>
    </w:tblStylePr>
  </w:style>
  <w:style w:customStyle="1" w:styleId="PO206" w:type="table">
    <w:name w:val="List Table 1 Light1"/>
    <w:basedOn w:val="PO3"/>
    <w:uiPriority w:val="46"/>
    <w:tblPr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666666" w:themeColor="tex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666666" w:themeColor="text1" w:themeTint="99" w:sz="4"/>
        </w:tcBorders>
      </w:tcPr>
    </w:tblStylePr>
  </w:style>
  <w:style w:customStyle="1" w:styleId="PO207" w:type="table">
    <w:name w:val="List Table 1 Light - Accent 11"/>
    <w:basedOn w:val="PO3"/>
    <w:uiPriority w:val="46"/>
    <w:tblPr>
      <w:tblStyleColBandSize w:val="1"/>
      <w:tblStyleRowBandSize w:val="1"/>
    </w:tbl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95B3D7" w:themeColor="accen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95B3D7" w:themeColor="accent1" w:themeTint="99" w:sz="4"/>
        </w:tcBorders>
      </w:tcPr>
    </w:tblStylePr>
  </w:style>
  <w:style w:customStyle="1" w:styleId="PO208" w:type="table">
    <w:name w:val="List Table 1 Light - Accent 21"/>
    <w:basedOn w:val="PO3"/>
    <w:uiPriority w:val="46"/>
    <w:tblPr>
      <w:tblStyleColBandSize w:val="1"/>
      <w:tblStyleRowBandSize w:val="1"/>
    </w:tbl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D99694" w:themeColor="accent2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D99694" w:themeColor="accent2" w:themeTint="99" w:sz="4"/>
        </w:tcBorders>
      </w:tcPr>
    </w:tblStylePr>
  </w:style>
  <w:style w:customStyle="1" w:styleId="PO209" w:type="table">
    <w:name w:val="List Table 1 Light - Accent 31"/>
    <w:basedOn w:val="PO3"/>
    <w:uiPriority w:val="46"/>
    <w:tblPr>
      <w:tblStyleColBandSize w:val="1"/>
      <w:tblStyleRowBandSize w:val="1"/>
    </w:tbl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C3D69B" w:themeColor="accent3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C3D69B" w:themeColor="accent3" w:themeTint="99" w:sz="4"/>
        </w:tcBorders>
      </w:tcPr>
    </w:tblStylePr>
  </w:style>
  <w:style w:customStyle="1" w:styleId="PO210" w:type="table">
    <w:name w:val="List Table 1 Light - Accent 41"/>
    <w:basedOn w:val="PO3"/>
    <w:uiPriority w:val="46"/>
    <w:tblPr>
      <w:tblStyleColBandSize w:val="1"/>
      <w:tblStyleRowBandSize w:val="1"/>
    </w:tbl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B3A2C7" w:themeColor="accent4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B3A2C7" w:themeColor="accent4" w:themeTint="99" w:sz="4"/>
        </w:tcBorders>
      </w:tcPr>
    </w:tblStylePr>
  </w:style>
  <w:style w:customStyle="1" w:styleId="PO211" w:type="table">
    <w:name w:val="List Table 1 Light - Accent 51"/>
    <w:basedOn w:val="PO3"/>
    <w:uiPriority w:val="46"/>
    <w:tblPr>
      <w:tblStyleColBandSize w:val="1"/>
      <w:tblStyleRowBandSize w:val="1"/>
    </w:tbl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93CDDD" w:themeColor="accent5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93CDDD" w:themeColor="accent5" w:themeTint="99" w:sz="4"/>
        </w:tcBorders>
      </w:tcPr>
    </w:tblStylePr>
  </w:style>
  <w:style w:customStyle="1" w:styleId="PO212" w:type="table">
    <w:name w:val="List Table 1 Light - Accent 61"/>
    <w:basedOn w:val="PO3"/>
    <w:uiPriority w:val="46"/>
    <w:tblPr>
      <w:tblStyleColBandSize w:val="1"/>
      <w:tblStyleRowBandSize w:val="1"/>
    </w:tbl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FAC090" w:themeColor="accent6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FAC090" w:themeColor="accent6" w:themeTint="99" w:sz="4"/>
        </w:tcBorders>
      </w:tcPr>
    </w:tblStylePr>
  </w:style>
  <w:style w:customStyle="1" w:styleId="PO213" w:type="table">
    <w:name w:val="List Table 21"/>
    <w:basedOn w:val="PO3"/>
    <w:uiPriority w:val="47"/>
    <w:tblPr>
      <w:tblBorders>
        <w:bottom w:val="single" w:color="666666" w:themeColor="text1" w:themeTint="99" w:sz="4"/>
        <w:insideH w:val="single" w:color="666666" w:themeColor="text1" w:themeTint="99" w:sz="4"/>
        <w:top w:val="single" w:color="666666" w:themeColor="text1" w:themeTint="99" w:sz="4"/>
      </w:tblBorders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customStyle="1" w:styleId="PO214" w:type="table">
    <w:name w:val="List Table 2 - Accent 11"/>
    <w:basedOn w:val="PO3"/>
    <w:uiPriority w:val="47"/>
    <w:tblPr>
      <w:tblBorders>
        <w:bottom w:val="single" w:color="95B3D7" w:themeColor="accent1" w:themeTint="99" w:sz="4"/>
        <w:insideH w:val="single" w:color="95B3D7" w:themeColor="accent1" w:themeTint="99" w:sz="4"/>
        <w:top w:val="single" w:color="95B3D7" w:themeColor="accent1" w:themeTint="99" w:sz="4"/>
      </w:tblBorders>
      <w:tblStyleColBandSize w:val="1"/>
      <w:tblStyleRowBandSize w:val="1"/>
    </w:tbl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customStyle="1" w:styleId="PO215" w:type="table">
    <w:name w:val="List Table 2 - Accent 21"/>
    <w:basedOn w:val="PO3"/>
    <w:uiPriority w:val="47"/>
    <w:tblPr>
      <w:tblBorders>
        <w:bottom w:val="single" w:color="D99694" w:themeColor="accent2" w:themeTint="99" w:sz="4"/>
        <w:insideH w:val="single" w:color="D99694" w:themeColor="accent2" w:themeTint="99" w:sz="4"/>
        <w:top w:val="single" w:color="D99694" w:themeColor="accent2" w:themeTint="99" w:sz="4"/>
      </w:tblBorders>
      <w:tblStyleColBandSize w:val="1"/>
      <w:tblStyleRowBandSize w:val="1"/>
    </w:tbl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customStyle="1" w:styleId="PO216" w:type="table">
    <w:name w:val="List Table 2 - Accent 31"/>
    <w:basedOn w:val="PO3"/>
    <w:uiPriority w:val="47"/>
    <w:tblPr>
      <w:tblBorders>
        <w:bottom w:val="single" w:color="C3D69B" w:themeColor="accent3" w:themeTint="99" w:sz="4"/>
        <w:insideH w:val="single" w:color="C3D69B" w:themeColor="accent3" w:themeTint="99" w:sz="4"/>
        <w:top w:val="single" w:color="C3D69B" w:themeColor="accent3" w:themeTint="99" w:sz="4"/>
      </w:tblBorders>
      <w:tblStyleColBandSize w:val="1"/>
      <w:tblStyleRowBandSize w:val="1"/>
    </w:tbl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customStyle="1" w:styleId="PO217" w:type="table">
    <w:name w:val="List Table 2 - Accent 41"/>
    <w:basedOn w:val="PO3"/>
    <w:uiPriority w:val="47"/>
    <w:tblPr>
      <w:tblBorders>
        <w:bottom w:val="single" w:color="B3A2C7" w:themeColor="accent4" w:themeTint="99" w:sz="4"/>
        <w:insideH w:val="single" w:color="B3A2C7" w:themeColor="accent4" w:themeTint="99" w:sz="4"/>
        <w:top w:val="single" w:color="B3A2C7" w:themeColor="accent4" w:themeTint="99" w:sz="4"/>
      </w:tblBorders>
      <w:tblStyleColBandSize w:val="1"/>
      <w:tblStyleRowBandSize w:val="1"/>
    </w:tbl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customStyle="1" w:styleId="PO218" w:type="table">
    <w:name w:val="List Table 2 - Accent 51"/>
    <w:basedOn w:val="PO3"/>
    <w:uiPriority w:val="47"/>
    <w:tblPr>
      <w:tblBorders>
        <w:bottom w:val="single" w:color="93CDDD" w:themeColor="accent5" w:themeTint="99" w:sz="4"/>
        <w:insideH w:val="single" w:color="93CDDD" w:themeColor="accent5" w:themeTint="99" w:sz="4"/>
        <w:top w:val="single" w:color="93CDDD" w:themeColor="accent5" w:themeTint="99" w:sz="4"/>
      </w:tblBorders>
      <w:tblStyleColBandSize w:val="1"/>
      <w:tblStyleRowBandSize w:val="1"/>
    </w:tbl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customStyle="1" w:styleId="PO219" w:type="table">
    <w:name w:val="List Table 2 - Accent 61"/>
    <w:basedOn w:val="PO3"/>
    <w:uiPriority w:val="47"/>
    <w:tblPr>
      <w:tblBorders>
        <w:bottom w:val="single" w:color="FAC090" w:themeColor="accent6" w:themeTint="99" w:sz="4"/>
        <w:insideH w:val="single" w:color="FAC090" w:themeColor="accent6" w:themeTint="99" w:sz="4"/>
        <w:top w:val="single" w:color="FAC090" w:themeColor="accent6" w:themeTint="99" w:sz="4"/>
      </w:tblBorders>
      <w:tblStyleColBandSize w:val="1"/>
      <w:tblStyleRowBandSize w:val="1"/>
    </w:tbl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customStyle="1" w:styleId="PO220" w:type="table">
    <w:name w:val="List Table 31"/>
    <w:basedOn w:val="PO3"/>
    <w:uiPriority w:val="48"/>
    <w:tblPr>
      <w:tblBorders>
        <w:bottom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  <w:tblStyleColBandSize w:val="1"/>
      <w:tblStyleRowBandSize w:val="1"/>
    </w:tblPr>
    <w:tblStylePr w:type="band1Horz">
      <w:tblPr/>
      <w:tcPr>
        <w:tcBorders>
          <w:bottom w:val="single" w:color="000000" w:themeColor="text1" w:sz="4"/>
          <w:insideH w:val="nil"/>
          <w:top w:val="single" w:color="000000" w:themeColor="text1" w:sz="4"/>
        </w:tcBorders>
      </w:tcPr>
    </w:tblStylePr>
    <w:tblStylePr w:type="band1Vert">
      <w:tblPr/>
      <w:tcPr>
        <w:tcBorders>
          <w:left w:val="single" w:color="000000" w:themeColor="text1" w:sz="4"/>
          <w:right w:val="single" w:color="000000" w:themeColor="text1" w:sz="4"/>
        </w:tcBorders>
      </w:tcPr>
    </w:tblStylePr>
    <w:tblStylePr w:type="firstCol">
      <w:rPr>
        <w:b w:val="1"/>
        <w:shd w:val="clear" w:color="auto" w:fill="auto"/>
      </w:rPr>
      <w:tblPr/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</w:tcPr>
    </w:tblStylePr>
    <w:tblStylePr w:type="lastCol">
      <w:rPr>
        <w:b w:val="1"/>
        <w:shd w:val="clear" w:color="auto" w:fill="auto"/>
      </w:rPr>
      <w:tblPr/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top w:val="double" w:color="000000" w:themeColor="text1" w:sz="4"/>
        </w:tcBorders>
      </w:tcPr>
    </w:tblStylePr>
    <w:tblStylePr w:type="neCell">
      <w:tblPr/>
      <w:tcPr>
        <w:tcBorders>
          <w:bottom w:val="nil"/>
          <w:left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left w:val="nil"/>
          <w:top w:val="double" w:color="000000" w:themeColor="text1" w:sz="4"/>
        </w:tcBorders>
      </w:tcPr>
    </w:tblStylePr>
    <w:tblStylePr w:type="swCell">
      <w:tblPr/>
      <w:tcPr>
        <w:tcBorders>
          <w:right w:val="nil"/>
          <w:top w:val="double" w:color="000000" w:themeColor="text1" w:sz="4"/>
        </w:tcBorders>
      </w:tcPr>
    </w:tblStylePr>
  </w:style>
  <w:style w:customStyle="1" w:styleId="PO221" w:type="table">
    <w:name w:val="List Table 3 - Accent 11"/>
    <w:basedOn w:val="PO3"/>
    <w:uiPriority w:val="48"/>
    <w:tblPr>
      <w:tblBorders>
        <w:bottom w:val="single" w:color="4F81BD" w:themeColor="accent1" w:sz="4"/>
        <w:left w:val="single" w:color="4F81BD" w:themeColor="accent1" w:sz="4"/>
        <w:right w:val="single" w:color="4F81BD" w:themeColor="accent1" w:sz="4"/>
        <w:top w:val="single" w:color="4F81BD" w:themeColor="accent1" w:sz="4"/>
      </w:tblBorders>
      <w:tblStyleColBandSize w:val="1"/>
      <w:tblStyleRowBandSize w:val="1"/>
    </w:tblPr>
    <w:tblStylePr w:type="band1Horz">
      <w:tblPr/>
      <w:tcPr>
        <w:tcBorders>
          <w:bottom w:val="single" w:color="4F81BD" w:themeColor="accent1" w:sz="4"/>
          <w:insideH w:val="nil"/>
          <w:top w:val="single" w:color="4F81BD" w:themeColor="accent1" w:sz="4"/>
        </w:tcBorders>
      </w:tcPr>
    </w:tblStylePr>
    <w:tblStylePr w:type="band1Vert">
      <w:tblPr/>
      <w:tcPr>
        <w:tcBorders>
          <w:left w:val="single" w:color="4F81BD" w:themeColor="accent1" w:sz="4"/>
          <w:right w:val="single" w:color="4F81BD" w:themeColor="accent1" w:sz="4"/>
        </w:tcBorders>
      </w:tcPr>
    </w:tblStylePr>
    <w:tblStylePr w:type="firstCol">
      <w:rPr>
        <w:b w:val="1"/>
        <w:shd w:val="clear" w:color="auto" w:fill="auto"/>
      </w:rPr>
      <w:tblPr/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</w:tcPr>
    </w:tblStylePr>
    <w:tblStylePr w:type="lastCol">
      <w:rPr>
        <w:b w:val="1"/>
        <w:shd w:val="clear" w:color="auto" w:fill="auto"/>
      </w:rPr>
      <w:tblPr/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top w:val="double" w:color="4F81BD" w:themeColor="accent1" w:sz="4"/>
        </w:tcBorders>
      </w:tcPr>
    </w:tblStylePr>
    <w:tblStylePr w:type="neCell">
      <w:tblPr/>
      <w:tcPr>
        <w:tcBorders>
          <w:bottom w:val="nil"/>
          <w:left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left w:val="nil"/>
          <w:top w:val="double" w:color="4F81BD" w:themeColor="accent1" w:sz="4"/>
        </w:tcBorders>
      </w:tcPr>
    </w:tblStylePr>
    <w:tblStylePr w:type="swCell">
      <w:tblPr/>
      <w:tcPr>
        <w:tcBorders>
          <w:right w:val="nil"/>
          <w:top w:val="double" w:color="4F81BD" w:themeColor="accent1" w:sz="4"/>
        </w:tcBorders>
      </w:tcPr>
    </w:tblStylePr>
  </w:style>
  <w:style w:customStyle="1" w:styleId="PO222" w:type="table">
    <w:name w:val="List Table 3 - Accent 21"/>
    <w:basedOn w:val="PO3"/>
    <w:uiPriority w:val="48"/>
    <w:tblPr>
      <w:tblBorders>
        <w:bottom w:val="single" w:color="C0504D" w:themeColor="accent2" w:sz="4"/>
        <w:left w:val="single" w:color="C0504D" w:themeColor="accent2" w:sz="4"/>
        <w:right w:val="single" w:color="C0504D" w:themeColor="accent2" w:sz="4"/>
        <w:top w:val="single" w:color="C0504D" w:themeColor="accent2" w:sz="4"/>
      </w:tblBorders>
      <w:tblStyleColBandSize w:val="1"/>
      <w:tblStyleRowBandSize w:val="1"/>
    </w:tblPr>
    <w:tblStylePr w:type="band1Horz">
      <w:tblPr/>
      <w:tcPr>
        <w:tcBorders>
          <w:bottom w:val="single" w:color="C0504D" w:themeColor="accent2" w:sz="4"/>
          <w:insideH w:val="nil"/>
          <w:top w:val="single" w:color="C0504D" w:themeColor="accent2" w:sz="4"/>
        </w:tcBorders>
      </w:tcPr>
    </w:tblStylePr>
    <w:tblStylePr w:type="band1Vert">
      <w:tblPr/>
      <w:tcPr>
        <w:tcBorders>
          <w:left w:val="single" w:color="C0504D" w:themeColor="accent2" w:sz="4"/>
          <w:right w:val="single" w:color="C0504D" w:themeColor="accent2" w:sz="4"/>
        </w:tcBorders>
      </w:tcPr>
    </w:tblStylePr>
    <w:tblStylePr w:type="firstCol">
      <w:rPr>
        <w:b w:val="1"/>
        <w:shd w:val="clear" w:color="auto" w:fill="auto"/>
      </w:rPr>
      <w:tblPr/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</w:tcPr>
    </w:tblStylePr>
    <w:tblStylePr w:type="lastCol">
      <w:rPr>
        <w:b w:val="1"/>
        <w:shd w:val="clear" w:color="auto" w:fill="auto"/>
      </w:rPr>
      <w:tblPr/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top w:val="double" w:color="C0504D" w:themeColor="accent2" w:sz="4"/>
        </w:tcBorders>
      </w:tcPr>
    </w:tblStylePr>
    <w:tblStylePr w:type="neCell">
      <w:tblPr/>
      <w:tcPr>
        <w:tcBorders>
          <w:bottom w:val="nil"/>
          <w:left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left w:val="nil"/>
          <w:top w:val="double" w:color="C0504D" w:themeColor="accent2" w:sz="4"/>
        </w:tcBorders>
      </w:tcPr>
    </w:tblStylePr>
    <w:tblStylePr w:type="swCell">
      <w:tblPr/>
      <w:tcPr>
        <w:tcBorders>
          <w:right w:val="nil"/>
          <w:top w:val="double" w:color="C0504D" w:themeColor="accent2" w:sz="4"/>
        </w:tcBorders>
      </w:tcPr>
    </w:tblStylePr>
  </w:style>
  <w:style w:customStyle="1" w:styleId="PO223" w:type="table">
    <w:name w:val="List Table 3 - Accent 31"/>
    <w:basedOn w:val="PO3"/>
    <w:uiPriority w:val="48"/>
    <w:tblPr>
      <w:tblBorders>
        <w:bottom w:val="single" w:color="9BBB59" w:themeColor="accent3" w:sz="4"/>
        <w:left w:val="single" w:color="9BBB59" w:themeColor="accent3" w:sz="4"/>
        <w:right w:val="single" w:color="9BBB59" w:themeColor="accent3" w:sz="4"/>
        <w:top w:val="single" w:color="9BBB59" w:themeColor="accent3" w:sz="4"/>
      </w:tblBorders>
      <w:tblStyleColBandSize w:val="1"/>
      <w:tblStyleRowBandSize w:val="1"/>
    </w:tblPr>
    <w:tblStylePr w:type="band1Horz">
      <w:tblPr/>
      <w:tcPr>
        <w:tcBorders>
          <w:bottom w:val="single" w:color="9BBB59" w:themeColor="accent3" w:sz="4"/>
          <w:insideH w:val="nil"/>
          <w:top w:val="single" w:color="9BBB59" w:themeColor="accent3" w:sz="4"/>
        </w:tcBorders>
      </w:tcPr>
    </w:tblStylePr>
    <w:tblStylePr w:type="band1Vert">
      <w:tblPr/>
      <w:tcPr>
        <w:tcBorders>
          <w:left w:val="single" w:color="9BBB59" w:themeColor="accent3" w:sz="4"/>
          <w:right w:val="single" w:color="9BBB59" w:themeColor="accent3" w:sz="4"/>
        </w:tcBorders>
      </w:tcPr>
    </w:tblStylePr>
    <w:tblStylePr w:type="firstCol">
      <w:rPr>
        <w:b w:val="1"/>
        <w:shd w:val="clear" w:color="auto" w:fill="auto"/>
      </w:rPr>
      <w:tblPr/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</w:tcPr>
    </w:tblStylePr>
    <w:tblStylePr w:type="lastCol">
      <w:rPr>
        <w:b w:val="1"/>
        <w:shd w:val="clear" w:color="auto" w:fill="auto"/>
      </w:rPr>
      <w:tblPr/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top w:val="double" w:color="9BBB59" w:themeColor="accent3" w:sz="4"/>
        </w:tcBorders>
      </w:tcPr>
    </w:tblStylePr>
    <w:tblStylePr w:type="neCell">
      <w:tblPr/>
      <w:tcPr>
        <w:tcBorders>
          <w:bottom w:val="nil"/>
          <w:left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left w:val="nil"/>
          <w:top w:val="double" w:color="9BBB59" w:themeColor="accent3" w:sz="4"/>
        </w:tcBorders>
      </w:tcPr>
    </w:tblStylePr>
    <w:tblStylePr w:type="swCell">
      <w:tblPr/>
      <w:tcPr>
        <w:tcBorders>
          <w:right w:val="nil"/>
          <w:top w:val="double" w:color="9BBB59" w:themeColor="accent3" w:sz="4"/>
        </w:tcBorders>
      </w:tcPr>
    </w:tblStylePr>
  </w:style>
  <w:style w:customStyle="1" w:styleId="PO224" w:type="table">
    <w:name w:val="List Table 3 - Accent 41"/>
    <w:basedOn w:val="PO3"/>
    <w:uiPriority w:val="48"/>
    <w:tblPr>
      <w:tblBorders>
        <w:bottom w:val="single" w:color="8064A2" w:themeColor="accent4" w:sz="4"/>
        <w:left w:val="single" w:color="8064A2" w:themeColor="accent4" w:sz="4"/>
        <w:right w:val="single" w:color="8064A2" w:themeColor="accent4" w:sz="4"/>
        <w:top w:val="single" w:color="8064A2" w:themeColor="accent4" w:sz="4"/>
      </w:tblBorders>
      <w:tblStyleColBandSize w:val="1"/>
      <w:tblStyleRowBandSize w:val="1"/>
    </w:tblPr>
    <w:tblStylePr w:type="band1Horz">
      <w:tblPr/>
      <w:tcPr>
        <w:tcBorders>
          <w:bottom w:val="single" w:color="8064A2" w:themeColor="accent4" w:sz="4"/>
          <w:insideH w:val="nil"/>
          <w:top w:val="single" w:color="8064A2" w:themeColor="accent4" w:sz="4"/>
        </w:tcBorders>
      </w:tcPr>
    </w:tblStylePr>
    <w:tblStylePr w:type="band1Vert">
      <w:tblPr/>
      <w:tcPr>
        <w:tcBorders>
          <w:left w:val="single" w:color="8064A2" w:themeColor="accent4" w:sz="4"/>
          <w:right w:val="single" w:color="8064A2" w:themeColor="accent4" w:sz="4"/>
        </w:tcBorders>
      </w:tcPr>
    </w:tblStylePr>
    <w:tblStylePr w:type="firstCol">
      <w:rPr>
        <w:b w:val="1"/>
        <w:shd w:val="clear" w:color="auto" w:fill="auto"/>
      </w:rPr>
      <w:tblPr/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</w:tcPr>
    </w:tblStylePr>
    <w:tblStylePr w:type="lastCol">
      <w:rPr>
        <w:b w:val="1"/>
        <w:shd w:val="clear" w:color="auto" w:fill="auto"/>
      </w:rPr>
      <w:tblPr/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top w:val="double" w:color="8064A2" w:themeColor="accent4" w:sz="4"/>
        </w:tcBorders>
      </w:tcPr>
    </w:tblStylePr>
    <w:tblStylePr w:type="neCell">
      <w:tblPr/>
      <w:tcPr>
        <w:tcBorders>
          <w:bottom w:val="nil"/>
          <w:left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left w:val="nil"/>
          <w:top w:val="double" w:color="8064A2" w:themeColor="accent4" w:sz="4"/>
        </w:tcBorders>
      </w:tcPr>
    </w:tblStylePr>
    <w:tblStylePr w:type="swCell">
      <w:tblPr/>
      <w:tcPr>
        <w:tcBorders>
          <w:right w:val="nil"/>
          <w:top w:val="double" w:color="8064A2" w:themeColor="accent4" w:sz="4"/>
        </w:tcBorders>
      </w:tcPr>
    </w:tblStylePr>
  </w:style>
  <w:style w:customStyle="1" w:styleId="PO225" w:type="table">
    <w:name w:val="List Table 3 - Accent 51"/>
    <w:basedOn w:val="PO3"/>
    <w:uiPriority w:val="48"/>
    <w:tblPr>
      <w:tblBorders>
        <w:bottom w:val="single" w:color="4BACC6" w:themeColor="accent5" w:sz="4"/>
        <w:left w:val="single" w:color="4BACC6" w:themeColor="accent5" w:sz="4"/>
        <w:right w:val="single" w:color="4BACC6" w:themeColor="accent5" w:sz="4"/>
        <w:top w:val="single" w:color="4BACC6" w:themeColor="accent5" w:sz="4"/>
      </w:tblBorders>
      <w:tblStyleColBandSize w:val="1"/>
      <w:tblStyleRowBandSize w:val="1"/>
    </w:tblPr>
    <w:tblStylePr w:type="band1Horz">
      <w:tblPr/>
      <w:tcPr>
        <w:tcBorders>
          <w:bottom w:val="single" w:color="4BACC6" w:themeColor="accent5" w:sz="4"/>
          <w:insideH w:val="nil"/>
          <w:top w:val="single" w:color="4BACC6" w:themeColor="accent5" w:sz="4"/>
        </w:tcBorders>
      </w:tcPr>
    </w:tblStylePr>
    <w:tblStylePr w:type="band1Vert">
      <w:tblPr/>
      <w:tcPr>
        <w:tcBorders>
          <w:left w:val="single" w:color="4BACC6" w:themeColor="accent5" w:sz="4"/>
          <w:right w:val="single" w:color="4BACC6" w:themeColor="accent5" w:sz="4"/>
        </w:tcBorders>
      </w:tcPr>
    </w:tblStylePr>
    <w:tblStylePr w:type="firstCol">
      <w:rPr>
        <w:b w:val="1"/>
        <w:shd w:val="clear" w:color="auto" w:fill="auto"/>
      </w:rPr>
      <w:tblPr/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</w:tcPr>
    </w:tblStylePr>
    <w:tblStylePr w:type="lastCol">
      <w:rPr>
        <w:b w:val="1"/>
        <w:shd w:val="clear" w:color="auto" w:fill="auto"/>
      </w:rPr>
      <w:tblPr/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top w:val="double" w:color="4BACC6" w:themeColor="accent5" w:sz="4"/>
        </w:tcBorders>
      </w:tcPr>
    </w:tblStylePr>
    <w:tblStylePr w:type="neCell">
      <w:tblPr/>
      <w:tcPr>
        <w:tcBorders>
          <w:bottom w:val="nil"/>
          <w:left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left w:val="nil"/>
          <w:top w:val="double" w:color="4BACC6" w:themeColor="accent5" w:sz="4"/>
        </w:tcBorders>
      </w:tcPr>
    </w:tblStylePr>
    <w:tblStylePr w:type="swCell">
      <w:tblPr/>
      <w:tcPr>
        <w:tcBorders>
          <w:right w:val="nil"/>
          <w:top w:val="double" w:color="4BACC6" w:themeColor="accent5" w:sz="4"/>
        </w:tcBorders>
      </w:tcPr>
    </w:tblStylePr>
  </w:style>
  <w:style w:customStyle="1" w:styleId="PO226" w:type="table">
    <w:name w:val="List Table 3 - Accent 61"/>
    <w:basedOn w:val="PO3"/>
    <w:uiPriority w:val="48"/>
    <w:tblPr>
      <w:tblBorders>
        <w:bottom w:val="single" w:color="F79646" w:themeColor="accent6" w:sz="4"/>
        <w:left w:val="single" w:color="F79646" w:themeColor="accent6" w:sz="4"/>
        <w:right w:val="single" w:color="F79646" w:themeColor="accent6" w:sz="4"/>
        <w:top w:val="single" w:color="F79646" w:themeColor="accent6" w:sz="4"/>
      </w:tblBorders>
      <w:tblStyleColBandSize w:val="1"/>
      <w:tblStyleRowBandSize w:val="1"/>
    </w:tblPr>
    <w:tblStylePr w:type="band1Horz">
      <w:tblPr/>
      <w:tcPr>
        <w:tcBorders>
          <w:bottom w:val="single" w:color="F79646" w:themeColor="accent6" w:sz="4"/>
          <w:insideH w:val="nil"/>
          <w:top w:val="single" w:color="F79646" w:themeColor="accent6" w:sz="4"/>
        </w:tcBorders>
      </w:tcPr>
    </w:tblStylePr>
    <w:tblStylePr w:type="band1Vert">
      <w:tblPr/>
      <w:tcPr>
        <w:tcBorders>
          <w:left w:val="single" w:color="F79646" w:themeColor="accent6" w:sz="4"/>
          <w:right w:val="single" w:color="F79646" w:themeColor="accent6" w:sz="4"/>
        </w:tcBorders>
      </w:tcPr>
    </w:tblStylePr>
    <w:tblStylePr w:type="firstCol">
      <w:rPr>
        <w:b w:val="1"/>
        <w:shd w:val="clear" w:color="auto" w:fill="auto"/>
      </w:rPr>
      <w:tblPr/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</w:tcPr>
    </w:tblStylePr>
    <w:tblStylePr w:type="lastCol">
      <w:rPr>
        <w:b w:val="1"/>
        <w:shd w:val="clear" w:color="auto" w:fill="auto"/>
      </w:rPr>
      <w:tblPr/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blPr/>
      <w:tcPr>
        <w:shd w:fill="FFFFFF" w:themeFill="background1" w:color="000000" w:val="clear"/>
        <w:tcBorders>
          <w:top w:val="double" w:color="F79646" w:themeColor="accent6" w:sz="4"/>
        </w:tcBorders>
      </w:tcPr>
    </w:tblStylePr>
    <w:tblStylePr w:type="neCell">
      <w:tblPr/>
      <w:tcPr>
        <w:tcBorders>
          <w:bottom w:val="nil"/>
          <w:left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left w:val="nil"/>
          <w:top w:val="double" w:color="F79646" w:themeColor="accent6" w:sz="4"/>
        </w:tcBorders>
      </w:tcPr>
    </w:tblStylePr>
    <w:tblStylePr w:type="swCell">
      <w:tblPr/>
      <w:tcPr>
        <w:tcBorders>
          <w:right w:val="nil"/>
          <w:top w:val="double" w:color="F79646" w:themeColor="accent6" w:sz="4"/>
        </w:tcBorders>
      </w:tcPr>
    </w:tblStylePr>
  </w:style>
  <w:style w:customStyle="1" w:styleId="PO227" w:type="table">
    <w:name w:val="List Table 41"/>
    <w:basedOn w:val="PO3"/>
    <w:uiPriority w:val="49"/>
    <w:tblPr>
      <w:tblBorders>
        <w:bottom w:val="single" w:color="666666" w:themeColor="text1" w:themeTint="99" w:sz="4"/>
        <w:insideH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000000" w:themeColor="text1" w:sz="4"/>
          <w:insideH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666666" w:themeColor="text1" w:themeTint="99" w:sz="4"/>
        </w:tcBorders>
      </w:tcPr>
    </w:tblStylePr>
  </w:style>
  <w:style w:customStyle="1" w:styleId="PO228" w:type="table">
    <w:name w:val="List Table 4 - Accent 11"/>
    <w:basedOn w:val="PO3"/>
    <w:uiPriority w:val="49"/>
    <w:tblPr>
      <w:tblBorders>
        <w:bottom w:val="single" w:color="95B3D7" w:themeColor="accent1" w:themeTint="99" w:sz="4"/>
        <w:insideH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StyleColBandSize w:val="1"/>
      <w:tblStyleRowBandSize w:val="1"/>
    </w:tbl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4F81BD" w:themeColor="accent1" w:sz="4"/>
          <w:insideH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95B3D7" w:themeColor="accent1" w:themeTint="99" w:sz="4"/>
        </w:tcBorders>
      </w:tcPr>
    </w:tblStylePr>
  </w:style>
  <w:style w:customStyle="1" w:styleId="PO229" w:type="table">
    <w:name w:val="List Table 4 - Accent 21"/>
    <w:basedOn w:val="PO3"/>
    <w:uiPriority w:val="49"/>
    <w:tblPr>
      <w:tblBorders>
        <w:bottom w:val="single" w:color="D99694" w:themeColor="accent2" w:themeTint="99" w:sz="4"/>
        <w:insideH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StyleColBandSize w:val="1"/>
      <w:tblStyleRowBandSize w:val="1"/>
    </w:tbl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C0504D" w:themeColor="accent2" w:sz="4"/>
          <w:insideH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D99694" w:themeColor="accent2" w:themeTint="99" w:sz="4"/>
        </w:tcBorders>
      </w:tcPr>
    </w:tblStylePr>
  </w:style>
  <w:style w:customStyle="1" w:styleId="PO230" w:type="table">
    <w:name w:val="List Table 4 - Accent 31"/>
    <w:basedOn w:val="PO3"/>
    <w:uiPriority w:val="49"/>
    <w:tblPr>
      <w:tblBorders>
        <w:bottom w:val="single" w:color="C3D69B" w:themeColor="accent3" w:themeTint="99" w:sz="4"/>
        <w:insideH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StyleColBandSize w:val="1"/>
      <w:tblStyleRowBandSize w:val="1"/>
    </w:tbl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9BBB59" w:themeColor="accent3" w:sz="4"/>
          <w:insideH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C3D69B" w:themeColor="accent3" w:themeTint="99" w:sz="4"/>
        </w:tcBorders>
      </w:tcPr>
    </w:tblStylePr>
  </w:style>
  <w:style w:customStyle="1" w:styleId="PO231" w:type="table">
    <w:name w:val="List Table 4 - Accent 41"/>
    <w:basedOn w:val="PO3"/>
    <w:uiPriority w:val="49"/>
    <w:tblPr>
      <w:tblBorders>
        <w:bottom w:val="single" w:color="B3A2C7" w:themeColor="accent4" w:themeTint="99" w:sz="4"/>
        <w:insideH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StyleColBandSize w:val="1"/>
      <w:tblStyleRowBandSize w:val="1"/>
    </w:tbl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8064A2" w:themeColor="accent4" w:sz="4"/>
          <w:insideH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B3A2C7" w:themeColor="accent4" w:themeTint="99" w:sz="4"/>
        </w:tcBorders>
      </w:tcPr>
    </w:tblStylePr>
  </w:style>
  <w:style w:customStyle="1" w:styleId="PO232" w:type="table">
    <w:name w:val="List Table 4 - Accent 51"/>
    <w:basedOn w:val="PO3"/>
    <w:uiPriority w:val="49"/>
    <w:tblPr>
      <w:tblBorders>
        <w:bottom w:val="single" w:color="93CDDD" w:themeColor="accent5" w:themeTint="99" w:sz="4"/>
        <w:insideH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StyleColBandSize w:val="1"/>
      <w:tblStyleRowBandSize w:val="1"/>
    </w:tbl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4BACC6" w:themeColor="accent5" w:sz="4"/>
          <w:insideH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93CDDD" w:themeColor="accent5" w:themeTint="99" w:sz="4"/>
        </w:tcBorders>
      </w:tcPr>
    </w:tblStylePr>
  </w:style>
  <w:style w:customStyle="1" w:styleId="PO233" w:type="table">
    <w:name w:val="List Table 4 - Accent 61"/>
    <w:basedOn w:val="PO3"/>
    <w:uiPriority w:val="49"/>
    <w:tblPr>
      <w:tblBorders>
        <w:bottom w:val="single" w:color="FAC090" w:themeColor="accent6" w:themeTint="99" w:sz="4"/>
        <w:insideH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StyleColBandSize w:val="1"/>
      <w:tblStyleRowBandSize w:val="1"/>
    </w:tbl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79646" w:themeColor="accent6" w:sz="4"/>
          <w:insideH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FAC090" w:themeColor="accent6" w:themeTint="99" w:sz="4"/>
        </w:tcBorders>
      </w:tcPr>
    </w:tblStylePr>
  </w:style>
  <w:style w:customStyle="1" w:styleId="PO234" w:type="table">
    <w:name w:val="List Table 6 Colorful1"/>
    <w:basedOn w:val="PO3"/>
    <w:uiPriority w:val="51"/>
    <w:rPr>
      <w:color w:val="000000" w:themeColor="text1" w:themeShade="BE"/>
      <w:shd w:val="clear" w:color="auto" w:fill="auto"/>
    </w:rPr>
    <w:tblPr>
      <w:tblBorders>
        <w:bottom w:val="single" w:color="000000" w:themeColor="text1" w:sz="4"/>
        <w:top w:val="single" w:color="000000" w:themeColor="text1" w:sz="4"/>
      </w:tblBorders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000000" w:themeColor="text1" w:sz="4"/>
        </w:tcBorders>
      </w:tcPr>
    </w:tblStylePr>
  </w:style>
  <w:style w:customStyle="1" w:styleId="PO235" w:type="table">
    <w:name w:val="List Table 6 Colorful - Accent 11"/>
    <w:basedOn w:val="PO3"/>
    <w:uiPriority w:val="51"/>
    <w:rPr>
      <w:color w:val="365F91" w:themeColor="accent1" w:themeShade="BE"/>
      <w:shd w:val="clear" w:color="auto" w:fill="auto"/>
    </w:rPr>
    <w:tblPr>
      <w:tblBorders>
        <w:bottom w:val="single" w:color="4F81BD" w:themeColor="accent1" w:sz="4"/>
        <w:top w:val="single" w:color="4F81BD" w:themeColor="accent1" w:sz="4"/>
      </w:tblBorders>
      <w:tblStyleColBandSize w:val="1"/>
      <w:tblStyleRowBandSize w:val="1"/>
    </w:tbl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4F81BD" w:themeColor="accent1" w:sz="4"/>
        </w:tcBorders>
      </w:tcPr>
    </w:tblStylePr>
  </w:style>
  <w:style w:customStyle="1" w:styleId="PO236" w:type="table">
    <w:name w:val="List Table 6 Colorful - Accent 21"/>
    <w:basedOn w:val="PO3"/>
    <w:uiPriority w:val="51"/>
    <w:rPr>
      <w:color w:val="943634" w:themeColor="accent2" w:themeShade="BE"/>
      <w:shd w:val="clear" w:color="auto" w:fill="auto"/>
    </w:rPr>
    <w:tblPr>
      <w:tblBorders>
        <w:bottom w:val="single" w:color="C0504D" w:themeColor="accent2" w:sz="4"/>
        <w:top w:val="single" w:color="C0504D" w:themeColor="accent2" w:sz="4"/>
      </w:tblBorders>
      <w:tblStyleColBandSize w:val="1"/>
      <w:tblStyleRowBandSize w:val="1"/>
    </w:tbl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C0504D" w:themeColor="accent2" w:sz="4"/>
        </w:tcBorders>
      </w:tcPr>
    </w:tblStylePr>
  </w:style>
  <w:style w:customStyle="1" w:styleId="PO237" w:type="table">
    <w:name w:val="List Table 6 Colorful - Accent 31"/>
    <w:basedOn w:val="PO3"/>
    <w:uiPriority w:val="51"/>
    <w:rPr>
      <w:color w:val="75913B" w:themeColor="accent3" w:themeShade="BE"/>
      <w:shd w:val="clear" w:color="auto" w:fill="auto"/>
    </w:rPr>
    <w:tblPr>
      <w:tblBorders>
        <w:bottom w:val="single" w:color="9BBB59" w:themeColor="accent3" w:sz="4"/>
        <w:top w:val="single" w:color="9BBB59" w:themeColor="accent3" w:sz="4"/>
      </w:tblBorders>
      <w:tblStyleColBandSize w:val="1"/>
      <w:tblStyleRowBandSize w:val="1"/>
    </w:tbl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9BBB59" w:themeColor="accent3" w:sz="4"/>
        </w:tcBorders>
      </w:tcPr>
    </w:tblStylePr>
  </w:style>
  <w:style w:customStyle="1" w:styleId="PO238" w:type="table">
    <w:name w:val="List Table 6 Colorful - Accent 41"/>
    <w:basedOn w:val="PO3"/>
    <w:uiPriority w:val="51"/>
    <w:rPr>
      <w:color w:val="5F497A" w:themeColor="accent4" w:themeShade="BE"/>
      <w:shd w:val="clear" w:color="auto" w:fill="auto"/>
    </w:rPr>
    <w:tblPr>
      <w:tblBorders>
        <w:bottom w:val="single" w:color="8064A2" w:themeColor="accent4" w:sz="4"/>
        <w:top w:val="single" w:color="8064A2" w:themeColor="accent4" w:sz="4"/>
      </w:tblBorders>
      <w:tblStyleColBandSize w:val="1"/>
      <w:tblStyleRowBandSize w:val="1"/>
    </w:tbl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8064A2" w:themeColor="accent4" w:sz="4"/>
        </w:tcBorders>
      </w:tcPr>
    </w:tblStylePr>
  </w:style>
  <w:style w:customStyle="1" w:styleId="PO239" w:type="table">
    <w:name w:val="List Table 6 Colorful - Accent 51"/>
    <w:basedOn w:val="PO3"/>
    <w:uiPriority w:val="51"/>
    <w:rPr>
      <w:color w:val="30849A" w:themeColor="accent5" w:themeShade="BE"/>
      <w:shd w:val="clear" w:color="auto" w:fill="auto"/>
    </w:rPr>
    <w:tblPr>
      <w:tblBorders>
        <w:bottom w:val="single" w:color="4BACC6" w:themeColor="accent5" w:sz="4"/>
        <w:top w:val="single" w:color="4BACC6" w:themeColor="accent5" w:sz="4"/>
      </w:tblBorders>
      <w:tblStyleColBandSize w:val="1"/>
      <w:tblStyleRowBandSize w:val="1"/>
    </w:tbl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4BACC6" w:themeColor="accent5" w:sz="4"/>
        </w:tcBorders>
      </w:tcPr>
    </w:tblStylePr>
  </w:style>
  <w:style w:customStyle="1" w:styleId="PO240" w:type="table">
    <w:name w:val="List Table 6 Colorful - Accent 61"/>
    <w:basedOn w:val="PO3"/>
    <w:uiPriority w:val="51"/>
    <w:rPr>
      <w:color w:val="E26B09" w:themeColor="accent6" w:themeShade="BE"/>
      <w:shd w:val="clear" w:color="auto" w:fill="auto"/>
    </w:rPr>
    <w:tblPr>
      <w:tblBorders>
        <w:bottom w:val="single" w:color="F79646" w:themeColor="accent6" w:sz="4"/>
        <w:top w:val="single" w:color="F79646" w:themeColor="accent6" w:sz="4"/>
      </w:tblBorders>
      <w:tblStyleColBandSize w:val="1"/>
      <w:tblStyleRowBandSize w:val="1"/>
    </w:tbl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blPr/>
      <w:tcPr>
        <w:tcBorders>
          <w:bottom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double" w:color="F79646" w:themeColor="accent6" w:sz="4"/>
        </w:tcBorders>
      </w:tcPr>
    </w:tblStylePr>
  </w:style>
  <w:style w:customStyle="1" w:styleId="PO241" w:type="table">
    <w:name w:val="List Table 7 Colorful1"/>
    <w:basedOn w:val="PO3"/>
    <w:uiPriority w:val="52"/>
    <w:rPr>
      <w:color w:val="000000" w:themeColor="text1" w:themeShade="BE"/>
      <w:shd w:val="clear" w:color="auto" w:fill="auto"/>
    </w:rPr>
    <w:tblPr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right w:val="single" w:color="000000" w:themeColor="tex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000000" w:themeColor="tex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left w:val="single" w:color="000000" w:themeColor="tex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customStyle="1" w:styleId="PO242" w:type="table">
    <w:name w:val="List Table 7 Colorful - Accent 11"/>
    <w:basedOn w:val="PO3"/>
    <w:uiPriority w:val="52"/>
    <w:rPr>
      <w:color w:val="365F91" w:themeColor="accent1" w:themeShade="BE"/>
      <w:shd w:val="clear" w:color="auto" w:fill="auto"/>
    </w:rPr>
    <w:tblPr>
      <w:tblStyleColBandSize w:val="1"/>
      <w:tblStyleRowBandSize w:val="1"/>
    </w:tbl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right w:val="single" w:color="4F81BD" w:themeColor="accen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4F81BD" w:themeColor="accen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left w:val="single" w:color="4F81BD" w:themeColor="accen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top w:val="single" w:color="4F81BD" w:themeColor="accent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customStyle="1" w:styleId="PO243" w:type="table">
    <w:name w:val="List Table 7 Colorful - Accent 21"/>
    <w:basedOn w:val="PO3"/>
    <w:uiPriority w:val="52"/>
    <w:rPr>
      <w:color w:val="943634" w:themeColor="accent2" w:themeShade="BE"/>
      <w:shd w:val="clear" w:color="auto" w:fill="auto"/>
    </w:rPr>
    <w:tblPr>
      <w:tblStyleColBandSize w:val="1"/>
      <w:tblStyleRowBandSize w:val="1"/>
    </w:tbl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right w:val="single" w:color="C0504D" w:themeColor="accent2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left w:val="single" w:color="C0504D" w:themeColor="accent2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top w:val="single" w:color="C0504D" w:themeColor="accent2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customStyle="1" w:styleId="PO244" w:type="table">
    <w:name w:val="List Table 7 Colorful - Accent 31"/>
    <w:basedOn w:val="PO3"/>
    <w:uiPriority w:val="52"/>
    <w:rPr>
      <w:color w:val="75913B" w:themeColor="accent3" w:themeShade="BE"/>
      <w:shd w:val="clear" w:color="auto" w:fill="auto"/>
    </w:rPr>
    <w:tblPr>
      <w:tblStyleColBandSize w:val="1"/>
      <w:tblStyleRowBandSize w:val="1"/>
    </w:tbl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right w:val="single" w:color="9BBB59" w:themeColor="accent3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left w:val="single" w:color="9BBB59" w:themeColor="accent3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top w:val="single" w:color="9BBB59" w:themeColor="accent3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customStyle="1" w:styleId="PO245" w:type="table">
    <w:name w:val="List Table 7 Colorful - Accent 41"/>
    <w:basedOn w:val="PO3"/>
    <w:uiPriority w:val="52"/>
    <w:rPr>
      <w:color w:val="5F497A" w:themeColor="accent4" w:themeShade="BE"/>
      <w:shd w:val="clear" w:color="auto" w:fill="auto"/>
    </w:rPr>
    <w:tblPr>
      <w:tblStyleColBandSize w:val="1"/>
      <w:tblStyleRowBandSize w:val="1"/>
    </w:tbl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right w:val="single" w:color="8064A2" w:themeColor="accent4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left w:val="single" w:color="8064A2" w:themeColor="accent4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top w:val="single" w:color="8064A2" w:themeColor="accent4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customStyle="1" w:styleId="PO246" w:type="table">
    <w:name w:val="List Table 7 Colorful - Accent 51"/>
    <w:basedOn w:val="PO3"/>
    <w:uiPriority w:val="52"/>
    <w:rPr>
      <w:color w:val="30849A" w:themeColor="accent5" w:themeShade="BE"/>
      <w:shd w:val="clear" w:color="auto" w:fill="auto"/>
    </w:rPr>
    <w:tblPr>
      <w:tblStyleColBandSize w:val="1"/>
      <w:tblStyleRowBandSize w:val="1"/>
    </w:tbl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right w:val="single" w:color="4BACC6" w:themeColor="accent5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left w:val="single" w:color="4BACC6" w:themeColor="accent5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top w:val="single" w:color="4BACC6" w:themeColor="accent5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customStyle="1" w:styleId="PO247" w:type="table">
    <w:name w:val="List Table 7 Colorful - Accent 61"/>
    <w:basedOn w:val="PO3"/>
    <w:uiPriority w:val="52"/>
    <w:rPr>
      <w:color w:val="E26B09" w:themeColor="accent6" w:themeShade="BE"/>
      <w:shd w:val="clear" w:color="auto" w:fill="auto"/>
    </w:rPr>
    <w:tblPr>
      <w:tblStyleColBandSize w:val="1"/>
      <w:tblStyleRowBandSize w:val="1"/>
    </w:tbl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right w:val="single" w:color="F79646" w:themeColor="accent6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left w:val="single" w:color="F79646" w:themeColor="accent6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top w:val="single" w:color="F79646" w:themeColor="accent6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styleId="PO248" w:type="paragraph">
    <w:name w:val="header"/>
    <w:basedOn w:val="PO1"/>
    <w:link w:val="PO249"/>
    <w:uiPriority w:val="99"/>
    <w:unhideWhenUsed/>
    <w:pPr>
      <w:tabs>
        <w:tab w:val="center" w:pos="4680"/>
        <w:tab w:val="right" w:pos="9360"/>
      </w:tabs>
      <w:rPr/>
    </w:pPr>
    <w:rPr>
      <w:shd w:val="clear"/>
    </w:rPr>
  </w:style>
  <w:style w:customStyle="1" w:styleId="PO249" w:type="character">
    <w:name w:val="Header Char"/>
    <w:basedOn w:val="PO2"/>
    <w:link w:val="PO248"/>
    <w:uiPriority w:val="99"/>
  </w:style>
  <w:style w:styleId="PO250" w:type="paragraph">
    <w:name w:val="footer"/>
    <w:basedOn w:val="PO1"/>
    <w:link w:val="PO251"/>
    <w:uiPriority w:val="99"/>
    <w:unhideWhenUsed/>
    <w:pPr>
      <w:tabs>
        <w:tab w:val="center" w:pos="4680"/>
        <w:tab w:val="right" w:pos="9360"/>
      </w:tabs>
      <w:rPr/>
    </w:pPr>
    <w:rPr>
      <w:shd w:val="clear"/>
    </w:rPr>
  </w:style>
  <w:style w:customStyle="1" w:styleId="PO251" w:type="character">
    <w:name w:val="Footer Char"/>
    <w:basedOn w:val="PO2"/>
    <w:link w:val="PO250"/>
    <w:uiPriority w:val="99"/>
  </w:style>
  <w:style w:styleId="PO252" w:type="character">
    <w:name w:val="Hyperlink"/>
    <w:basedOn w:val="PO2"/>
    <w:uiPriority w:val="99"/>
    <w:unhideWhenUsed/>
    <w:rPr>
      <w:color w:val="0000FF" w:themeColor="hyperlink"/>
      <w:u w:val="single"/>
      <w:shd w:val="clear" w:color="auto" w:fill="auto"/>
    </w:rPr>
  </w:style>
  <w:style w:styleId="PO253" w:type="paragraph">
    <w:name w:val="Balloon Text"/>
    <w:basedOn w:val="PO1"/>
    <w:link w:val="PO254"/>
    <w:uiPriority w:val="99"/>
    <w:semiHidden/>
    <w:unhideWhenUsed/>
    <w:rPr>
      <w:sz w:val="18"/>
      <w:szCs w:val="18"/>
      <w:shd w:val="clear" w:color="auto" w:fill="auto"/>
      <w:rFonts w:ascii="Segoe UI" w:hAnsi="Segoe UI" w:cs="Segoe UI"/>
    </w:rPr>
  </w:style>
  <w:style w:customStyle="1" w:styleId="PO254" w:type="character">
    <w:name w:val="Balloon Text Char"/>
    <w:basedOn w:val="PO2"/>
    <w:link w:val="PO253"/>
    <w:uiPriority w:val="99"/>
    <w:semiHidden/>
    <w:rPr>
      <w:sz w:val="18"/>
      <w:szCs w:val="18"/>
      <w:shd w:val="clear" w:color="auto" w:fill="auto"/>
      <w:rFonts w:ascii="Segoe UI" w:hAnsi="Segoe UI" w:cs="Segoe UI"/>
    </w:rPr>
  </w:style>
  <w:style w:styleId="PO255" w:type="paragraph">
    <w:name w:val="Normal (Web)"/>
    <w:basedOn w:val="PO1"/>
    <w:uiPriority w:val="99"/>
    <w:semiHidden/>
    <w:unhideWhenUsed/>
    <w:pPr>
      <w:spacing w:before="100" w:beforeAutospacing="1" w:after="100" w:afterAutospacing="1"/>
      <w:rPr/>
    </w:pPr>
    <w:rPr>
      <w:sz w:val="24"/>
      <w:szCs w:val="24"/>
      <w:shd w:val="clear" w:color="auto" w:fill="auto"/>
      <w:rFonts w:ascii="Times New Roman" w:eastAsia="Times New Roman" w:hAnsi="Times New Roman" w:cs="Times New Roman"/>
    </w:rPr>
  </w:style>
  <w:style w:customStyle="1" w:styleId="PO256" w:type="character">
    <w:name w:val="List Paragraph Char"/>
    <w:link w:val="PO26"/>
    <w:qFormat/>
    <w:uiPriority w:val="34"/>
  </w:style>
  <w:style w:styleId="PO257" w:type="paragraph">
    <w:name w:val="Revision"/>
    <w:uiPriority w:val="99"/>
    <w:semiHidden/>
  </w:style>
  <w:style w:customStyle="1" w:styleId="PO258" w:type="character">
    <w:name w:val="Heading 3 Char"/>
    <w:basedOn w:val="PO2"/>
    <w:link w:val="PO9"/>
    <w:uiPriority w:val="9"/>
    <w:rPr>
      <w:b w:val="1"/>
      <w:sz w:val="27"/>
      <w:szCs w:val="27"/>
      <w:shd w:val="clear" w:color="auto" w:fill="auto"/>
      <w:rFonts w:ascii="Times New Roman" w:eastAsia="Times New Roman" w:hAnsi="Times New Roman" w:cs="Times New Roman"/>
      <w:lang w:eastAsia="en-IN"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image1.jpeg"></Relationship><Relationship Id="rId6" Type="http://schemas.openxmlformats.org/officeDocument/2006/relationships/header" Target="header2.xml"></Relationship><Relationship Id="rId7" Type="http://schemas.openxmlformats.org/officeDocument/2006/relationships/footer" Target="footer3.xml"></Relationship><Relationship Id="rId8" Type="http://schemas.openxmlformats.org/officeDocument/2006/relationships/numbering" Target="numbering.xml"></Relationship><Relationship Id="rId9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Company>Hewlett-Packard Company</Company>
  <DocSecurity>0</DocSecurity>
  <HyperlinksChanged>false</HyperlinksChanged>
  <Lines>334</Lines>
  <LinksUpToDate>false</LinksUpToDate>
  <Pages>22</Pages>
  <Paragraphs>94</Paragraphs>
  <Words>7050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admin-pc</dc:creator>
  <cp:lastModifiedBy>Dell</cp:lastModifiedBy>
  <cp:version>9.114.128.49613</cp:version>
  <dcterms:modified xsi:type="dcterms:W3CDTF">2026-01-02T13:02:00Z</dcterms:modified>
</cp:coreProperties>
</file>