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EB1" w:rsidRDefault="00876C85">
      <w:pPr>
        <w:pStyle w:val="Title"/>
        <w:jc w:val="righ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Appendix-B </w:t>
      </w:r>
    </w:p>
    <w:p w:rsidR="00E70EB1" w:rsidRDefault="00876C85">
      <w:pPr>
        <w:pStyle w:val="Title"/>
        <w:spacing w:before="240"/>
        <w:contextualSpacing w:val="0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color w:val="auto"/>
          <w:sz w:val="28"/>
          <w:szCs w:val="28"/>
        </w:rPr>
        <w:t>CHECK-LIST FOR AUDITORS OF STATE HEALTH SOCIETY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253"/>
        <w:gridCol w:w="1134"/>
        <w:gridCol w:w="1189"/>
        <w:gridCol w:w="1849"/>
      </w:tblGrid>
      <w:tr w:rsidR="00E70EB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Sl. No.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PARTICULARS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YES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NO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REMARKS</w:t>
            </w:r>
          </w:p>
        </w:tc>
      </w:tr>
      <w:tr w:rsidR="00E70EB1">
        <w:trPr>
          <w:trHeight w:val="82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</w:pPr>
            <w: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both"/>
            </w:pPr>
            <w:r>
              <w:t xml:space="preserve">Whether Audit Opinion is in the </w:t>
            </w:r>
            <w:r>
              <w:rPr>
                <w:b/>
              </w:rPr>
              <w:t>prescribed format</w:t>
            </w:r>
            <w:r>
              <w:t xml:space="preserve"> giving the World Bank Credit No.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jc w:val="center"/>
              <w:rPr>
                <w:rFonts w:cstheme="minorBidi"/>
              </w:rPr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spacing w:after="200" w:line="275" w:lineRule="auto"/>
              <w:jc w:val="center"/>
            </w:pPr>
          </w:p>
        </w:tc>
      </w:tr>
      <w:tr w:rsidR="00E70EB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</w:pPr>
            <w: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both"/>
            </w:pPr>
            <w:r>
              <w:t>Whether the Annual Financial Statements (AFS) are in the prescribed format for Balance Sheet, Income &amp; Expenditure Account and Receipt &amp; Payment Account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jc w:val="center"/>
              <w:rPr>
                <w:rFonts w:cstheme="minorBidi"/>
              </w:rPr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spacing w:after="200" w:line="275" w:lineRule="auto"/>
              <w:jc w:val="center"/>
            </w:pPr>
          </w:p>
        </w:tc>
      </w:tr>
      <w:tr w:rsidR="00E70EB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</w:pPr>
            <w:r>
              <w:t>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both"/>
            </w:pPr>
            <w:r>
              <w:t xml:space="preserve">Whether the Financial Statements include the </w:t>
            </w:r>
            <w:r>
              <w:t>Bank Reconciliation Statement as on last day of the year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jc w:val="center"/>
              <w:rPr>
                <w:rFonts w:cstheme="minorBidi"/>
              </w:rPr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spacing w:after="200" w:line="275" w:lineRule="auto"/>
              <w:jc w:val="center"/>
            </w:pPr>
          </w:p>
        </w:tc>
      </w:tr>
      <w:tr w:rsidR="00E70EB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</w:pPr>
            <w:r>
              <w:t>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both"/>
            </w:pPr>
            <w:r>
              <w:t>Whether Financial Monitoring Report for the last quarter has been certified by the auditors and forms part of Annual Financial Statements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jc w:val="center"/>
              <w:rPr>
                <w:rFonts w:cstheme="minorBidi"/>
              </w:rPr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spacing w:after="200" w:line="275" w:lineRule="auto"/>
              <w:jc w:val="center"/>
            </w:pPr>
          </w:p>
        </w:tc>
      </w:tr>
      <w:tr w:rsidR="00E70EB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</w:pPr>
            <w:r>
              <w:t>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both"/>
            </w:pPr>
            <w:r>
              <w:t xml:space="preserve">Confirm that no advances to Agency are </w:t>
            </w:r>
            <w:r>
              <w:t>shown as expenditure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jc w:val="center"/>
              <w:rPr>
                <w:rFonts w:cstheme="minorBidi"/>
              </w:rPr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spacing w:after="200" w:line="275" w:lineRule="auto"/>
              <w:jc w:val="center"/>
            </w:pPr>
          </w:p>
        </w:tc>
      </w:tr>
      <w:tr w:rsidR="00E70EB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</w:pPr>
            <w:r>
              <w:t>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both"/>
            </w:pPr>
            <w:r>
              <w:t>Are there  advances outstanding for long (greater than 6 months)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jc w:val="center"/>
              <w:rPr>
                <w:rFonts w:cstheme="minorBidi"/>
              </w:rPr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spacing w:after="200" w:line="275" w:lineRule="auto"/>
              <w:jc w:val="center"/>
            </w:pPr>
          </w:p>
        </w:tc>
      </w:tr>
      <w:tr w:rsidR="00E70EB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</w:pPr>
            <w:r>
              <w:t>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both"/>
            </w:pPr>
            <w:r>
              <w:t>Whether the Utilisation Certificate for all the Sanctions</w:t>
            </w:r>
            <w:r>
              <w:rPr>
                <w:color w:val="FF0000"/>
              </w:rPr>
              <w:t xml:space="preserve"> </w:t>
            </w:r>
            <w:r>
              <w:t>has been attached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jc w:val="center"/>
              <w:rPr>
                <w:rFonts w:cstheme="minorBidi"/>
              </w:rPr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spacing w:after="200" w:line="275" w:lineRule="auto"/>
            </w:pPr>
          </w:p>
        </w:tc>
      </w:tr>
      <w:tr w:rsidR="00E70EB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</w:pPr>
            <w:r>
              <w:t>8.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both"/>
            </w:pPr>
            <w:r>
              <w:t xml:space="preserve">Are the Utilisation Certificates are signed by </w:t>
            </w:r>
            <w:r>
              <w:t>the Mission Director</w:t>
            </w:r>
            <w:r>
              <w:rPr>
                <w:rFonts w:eastAsia="Malgun Gothic" w:hAnsi="Malgun Gothic" w:cs="Malgun Gothic"/>
              </w:rPr>
              <w:t xml:space="preserve"> and countersigned by Principal Secretary </w:t>
            </w:r>
            <w:r>
              <w:t xml:space="preserve"> or any other authorized person, Program Manager and by the Auditor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jc w:val="center"/>
              <w:rPr>
                <w:rFonts w:cstheme="minorBidi"/>
              </w:rPr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spacing w:after="200" w:line="275" w:lineRule="auto"/>
              <w:jc w:val="center"/>
            </w:pPr>
          </w:p>
        </w:tc>
      </w:tr>
      <w:tr w:rsidR="00E70EB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</w:pPr>
            <w:r>
              <w:t>9.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jc w:val="both"/>
              <w:rPr>
                <w:rFonts w:cstheme="minorBidi"/>
              </w:rPr>
            </w:pPr>
            <w:r>
              <w:t>Whether auditor has certified that the amount of utilisation in the Utilisation Certificate is tallied with the Inco</w:t>
            </w:r>
            <w:r>
              <w:t>me &amp; expenditure Account of the relevant period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jc w:val="center"/>
              <w:rPr>
                <w:rFonts w:cstheme="minorBidi"/>
              </w:rPr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spacing w:after="200" w:line="275" w:lineRule="auto"/>
              <w:jc w:val="center"/>
            </w:pPr>
          </w:p>
        </w:tc>
      </w:tr>
      <w:tr w:rsidR="00E70EB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</w:pPr>
            <w:r>
              <w:t>10.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both"/>
            </w:pPr>
            <w:r>
              <w:t xml:space="preserve">Confirm that the Consolidated Annual Financial Statements include all the districts annual statements based on the books </w:t>
            </w:r>
            <w:r>
              <w:lastRenderedPageBreak/>
              <w:t xml:space="preserve">maintained by them and have been duly </w:t>
            </w:r>
            <w:r>
              <w:t>audited by the same auditor or any other auditor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</w:tr>
      <w:tr w:rsidR="00E70EB1">
        <w:trPr>
          <w:trHeight w:val="72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</w:pPr>
            <w:r>
              <w:t>11.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both"/>
            </w:pPr>
            <w:r>
              <w:t>Whether Management Letter has been prepared by the Auditors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jc w:val="center"/>
              <w:rPr>
                <w:rFonts w:cstheme="minorBidi"/>
              </w:rPr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spacing w:after="200" w:line="275" w:lineRule="auto"/>
              <w:jc w:val="center"/>
            </w:pPr>
          </w:p>
        </w:tc>
      </w:tr>
      <w:tr w:rsidR="00E70EB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</w:pPr>
            <w:r>
              <w:t>12.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both"/>
            </w:pPr>
            <w:r>
              <w:t>Whether Management has offered its comments on the observations of the Auditor in the Management Letter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jc w:val="center"/>
              <w:rPr>
                <w:rFonts w:cstheme="minorBidi"/>
              </w:rPr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spacing w:after="200" w:line="275" w:lineRule="auto"/>
              <w:jc w:val="center"/>
            </w:pPr>
          </w:p>
        </w:tc>
      </w:tr>
      <w:tr w:rsidR="00E70EB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</w:pPr>
            <w:r>
              <w:t>13.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both"/>
            </w:pPr>
            <w:r>
              <w:t>Whether  the Annual Financial Statements are consolidated on the basis of audited districts accounts and not on the basis of expenditures reported by the districts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jc w:val="center"/>
              <w:rPr>
                <w:rFonts w:cstheme="minorBidi"/>
              </w:rPr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spacing w:after="200" w:line="275" w:lineRule="auto"/>
              <w:jc w:val="center"/>
            </w:pPr>
          </w:p>
        </w:tc>
      </w:tr>
      <w:tr w:rsidR="00E70EB1">
        <w:trPr>
          <w:trHeight w:val="127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</w:pPr>
            <w:r>
              <w:t>14.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both"/>
            </w:pPr>
            <w:r>
              <w:t xml:space="preserve">Have you ensured that the Annual Financial </w:t>
            </w:r>
            <w:r>
              <w:t>Statements have been consolidated for Flexible Pool for RCH &amp; Health System Strengthening, National Health Programme and Urban Health Mission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jc w:val="center"/>
              <w:rPr>
                <w:rFonts w:cstheme="minorBidi"/>
              </w:rPr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spacing w:after="200" w:line="275" w:lineRule="auto"/>
              <w:jc w:val="center"/>
            </w:pPr>
          </w:p>
        </w:tc>
      </w:tr>
      <w:tr w:rsidR="00E70EB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</w:pPr>
            <w:r>
              <w:t>15.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both"/>
            </w:pPr>
            <w:r>
              <w:t>Whether Accounting Policies and Notes on Accounts have been appended to the AFS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jc w:val="center"/>
              <w:rPr>
                <w:rFonts w:cstheme="minorBidi"/>
              </w:rPr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spacing w:after="200" w:line="275" w:lineRule="auto"/>
              <w:jc w:val="center"/>
            </w:pPr>
          </w:p>
        </w:tc>
      </w:tr>
      <w:tr w:rsidR="00E70EB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</w:pPr>
            <w:r>
              <w:t>16.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both"/>
            </w:pPr>
            <w:r>
              <w:t>Are you sure that none of expense of any activity has been merged with that of any other activity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jc w:val="center"/>
              <w:rPr>
                <w:rFonts w:cstheme="minorBidi"/>
              </w:rPr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spacing w:after="200" w:line="275" w:lineRule="auto"/>
              <w:jc w:val="center"/>
            </w:pPr>
          </w:p>
        </w:tc>
      </w:tr>
      <w:tr w:rsidR="00E70EB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</w:pPr>
            <w:r>
              <w:t>17.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both"/>
            </w:pPr>
            <w:r>
              <w:t>Are you sure that all the expenses have been properly reflected as per the Heads of Accounts as shown in the FMR for each programme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jc w:val="center"/>
              <w:rPr>
                <w:rFonts w:cstheme="minorBidi"/>
              </w:rPr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spacing w:after="200" w:line="275" w:lineRule="auto"/>
              <w:jc w:val="center"/>
            </w:pPr>
          </w:p>
        </w:tc>
      </w:tr>
      <w:tr w:rsidR="00E70EB1">
        <w:trPr>
          <w:trHeight w:val="8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</w:pPr>
            <w:r>
              <w:t>18.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both"/>
            </w:pPr>
            <w:r>
              <w:t>Whether the accounts finalisation instructions issued by each Programme Division has been followed or not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jc w:val="center"/>
              <w:rPr>
                <w:rFonts w:cstheme="minorBidi"/>
              </w:rPr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jc w:val="center"/>
            </w:pPr>
          </w:p>
          <w:p w:rsidR="00E70EB1" w:rsidRDefault="00E70EB1">
            <w:pPr>
              <w:spacing w:after="200" w:line="275" w:lineRule="auto"/>
              <w:jc w:val="center"/>
            </w:pPr>
          </w:p>
        </w:tc>
      </w:tr>
      <w:tr w:rsidR="00E70EB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</w:pPr>
            <w:r>
              <w:t>19.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both"/>
            </w:pPr>
            <w:r>
              <w:t xml:space="preserve">Whether a confirmation certificate regarding the inclusion of all bank accounts of SHS etc. duly signed by Mission Director and Director </w:t>
            </w:r>
            <w:r>
              <w:t>Finance has been obtained and attached with the Report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jc w:val="center"/>
              <w:rPr>
                <w:rFonts w:cstheme="minorBidi"/>
              </w:rPr>
            </w:pPr>
          </w:p>
        </w:tc>
      </w:tr>
      <w:tr w:rsidR="00E70EB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</w:pPr>
            <w:r>
              <w:t>20.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both"/>
            </w:pPr>
            <w:r>
              <w:t xml:space="preserve">Whether the SHS has claimed interest in delay of transfer of funds </w:t>
            </w:r>
            <w:r>
              <w:rPr>
                <w:rFonts w:eastAsia="Malgun Gothic" w:hAnsi="Malgun Gothic" w:cs="Malgun Gothic"/>
              </w:rPr>
              <w:t xml:space="preserve">(30 days) </w:t>
            </w:r>
            <w:r>
              <w:t>from State Treasury to SNA A/C of</w:t>
            </w:r>
            <w:r>
              <w:rPr>
                <w:rFonts w:eastAsia="Malgun Gothic" w:hAnsi="Malgun Gothic" w:cs="Malgun Gothic"/>
              </w:rPr>
              <w:t xml:space="preserve">  </w:t>
            </w:r>
            <w:r>
              <w:t xml:space="preserve">SHS in case </w:t>
            </w:r>
            <w:r>
              <w:lastRenderedPageBreak/>
              <w:t>of Central Grants from the date of receipt of funds by the State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jc w:val="center"/>
              <w:rPr>
                <w:rFonts w:cstheme="minorBidi"/>
              </w:rPr>
            </w:pPr>
          </w:p>
        </w:tc>
      </w:tr>
      <w:tr w:rsidR="00E70EB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</w:pPr>
            <w:r>
              <w:t>21.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tabs>
                <w:tab w:val="left" w:pos="740"/>
              </w:tabs>
              <w:spacing w:line="264" w:lineRule="auto"/>
              <w:contextualSpacing/>
              <w:jc w:val="both"/>
              <w:rPr>
                <w:sz w:val="24"/>
                <w:szCs w:val="24"/>
              </w:rPr>
            </w:pPr>
            <w:r>
              <w:t xml:space="preserve">Whether the auditor has ascertained the delay in transfer of </w:t>
            </w:r>
            <w:r>
              <w:rPr>
                <w:sz w:val="24"/>
                <w:szCs w:val="24"/>
              </w:rPr>
              <w:t xml:space="preserve">Central Government Grants </w:t>
            </w:r>
            <w:r>
              <w:rPr>
                <w:rFonts w:eastAsia="Malgun Gothic" w:hAnsi="Malgun Gothic" w:cs="Malgun Gothic"/>
                <w:sz w:val="24"/>
                <w:szCs w:val="24"/>
              </w:rPr>
              <w:t xml:space="preserve">(30 days) </w:t>
            </w:r>
            <w:r>
              <w:rPr>
                <w:sz w:val="24"/>
                <w:szCs w:val="24"/>
              </w:rPr>
              <w:t>from State Treasury to</w:t>
            </w:r>
            <w:r>
              <w:t xml:space="preserve"> SNA A/C of  State Health Society</w:t>
            </w:r>
          </w:p>
          <w:p w:rsidR="00E70EB1" w:rsidRDefault="00E70EB1">
            <w:pPr>
              <w:spacing w:after="200" w:line="275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jc w:val="center"/>
              <w:rPr>
                <w:rFonts w:cstheme="minorBidi"/>
              </w:rPr>
            </w:pPr>
          </w:p>
        </w:tc>
      </w:tr>
      <w:tr w:rsidR="00E70EB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</w:pPr>
            <w:r>
              <w:t>22.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widowControl w:val="0"/>
              <w:autoSpaceDE w:val="0"/>
              <w:autoSpaceDN w:val="0"/>
              <w:spacing w:after="160" w:line="259" w:lineRule="auto"/>
              <w:jc w:val="both"/>
            </w:pPr>
            <w:r>
              <w:rPr>
                <w:sz w:val="24"/>
                <w:szCs w:val="24"/>
              </w:rPr>
              <w:t xml:space="preserve">Status on laying down of previous year Audit Reports in the Governing Body </w:t>
            </w:r>
            <w:r>
              <w:rPr>
                <w:sz w:val="24"/>
                <w:szCs w:val="24"/>
              </w:rPr>
              <w:t xml:space="preserve">meeting for acceptance.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jc w:val="center"/>
              <w:rPr>
                <w:rFonts w:cstheme="minorBidi"/>
              </w:rPr>
            </w:pPr>
          </w:p>
        </w:tc>
      </w:tr>
      <w:tr w:rsidR="00E70EB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</w:pPr>
            <w:r>
              <w:t>23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widowControl w:val="0"/>
              <w:autoSpaceDE w:val="0"/>
              <w:autoSpaceDN w:val="0"/>
              <w:spacing w:after="160" w:line="259" w:lineRule="auto"/>
              <w:jc w:val="both"/>
              <w:rPr>
                <w:b/>
              </w:rPr>
            </w:pPr>
            <w:r>
              <w:rPr>
                <w:b/>
              </w:rPr>
              <w:t>SNA Implementation :</w:t>
            </w:r>
          </w:p>
          <w:p w:rsidR="00E70EB1" w:rsidRDefault="00876C85">
            <w:pPr>
              <w:widowControl w:val="0"/>
              <w:autoSpaceDE w:val="0"/>
              <w:autoSpaceDN w:val="0"/>
              <w:spacing w:after="160" w:line="259" w:lineRule="auto"/>
              <w:jc w:val="both"/>
              <w:rPr>
                <w:rFonts w:eastAsia="Malgun Gothic" w:hAnsi="Malgun Gothic" w:cs="Malgun Gothic"/>
              </w:rPr>
            </w:pPr>
            <w:r>
              <w:rPr>
                <w:rFonts w:eastAsia="Malgun Gothic" w:hAnsi="Malgun Gothic" w:cs="Malgun Gothic"/>
              </w:rPr>
              <w:t>1.</w:t>
            </w:r>
            <w:r>
              <w:t>Status on implementation and operationali</w:t>
            </w:r>
            <w:r>
              <w:rPr>
                <w:rFonts w:eastAsia="Malgun Gothic" w:hAnsi="Malgun Gothic" w:cs="Malgun Gothic"/>
              </w:rPr>
              <w:t>zation of Single Nodal Agency (SNA) ad Single Nodal Account in the State in view of DoE</w:t>
            </w:r>
            <w:r>
              <w:rPr>
                <w:rFonts w:eastAsia="Malgun Gothic" w:hAnsi="Malgun Gothic" w:cs="Malgun Gothic"/>
              </w:rPr>
              <w:t>’</w:t>
            </w:r>
            <w:r>
              <w:rPr>
                <w:rFonts w:eastAsia="Malgun Gothic" w:hAnsi="Malgun Gothic" w:cs="Malgun Gothic"/>
              </w:rPr>
              <w:t>s OM dated 23.03.2021.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  <w:r>
              <w:rPr>
                <w:sz w:val="24"/>
                <w:szCs w:val="24"/>
                <w:shd w:val="clear" w:color="000000" w:fill="auto"/>
              </w:rPr>
              <w:t xml:space="preserve">Revised procedure dated 20.10.2023 for </w:t>
            </w:r>
            <w:r>
              <w:rPr>
                <w:sz w:val="24"/>
                <w:szCs w:val="24"/>
                <w:shd w:val="clear" w:color="000000" w:fill="auto"/>
              </w:rPr>
              <w:t>flow of  funds to UTs without Legislature</w:t>
            </w:r>
          </w:p>
          <w:p w:rsidR="00E70EB1" w:rsidRDefault="00876C85">
            <w:pPr>
              <w:widowControl w:val="0"/>
              <w:autoSpaceDE w:val="0"/>
              <w:autoSpaceDN w:val="0"/>
              <w:spacing w:after="160" w:line="259" w:lineRule="auto"/>
              <w:jc w:val="both"/>
              <w:rPr>
                <w:sz w:val="24"/>
                <w:szCs w:val="24"/>
              </w:rPr>
            </w:pPr>
            <w:r>
              <w:rPr>
                <w:rFonts w:eastAsia="Malgun Gothic" w:hAnsi="Malgun Gothic" w:cs="Malgun Gothic"/>
              </w:rPr>
              <w:t>2. Status on transfer of Central Grant from State to SNA.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jc w:val="center"/>
              <w:rPr>
                <w:rFonts w:cstheme="minorBidi"/>
              </w:rPr>
            </w:pPr>
          </w:p>
        </w:tc>
      </w:tr>
      <w:tr w:rsidR="00E70EB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</w:pPr>
            <w:r>
              <w:t>24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widowControl w:val="0"/>
              <w:autoSpaceDE w:val="0"/>
              <w:autoSpaceDN w:val="0"/>
              <w:spacing w:after="160" w:line="259" w:lineRule="auto"/>
              <w:jc w:val="both"/>
              <w:rPr>
                <w:b/>
              </w:rPr>
            </w:pPr>
            <w:r>
              <w:rPr>
                <w:b/>
              </w:rPr>
              <w:t>DBT Payment :</w:t>
            </w:r>
          </w:p>
          <w:p w:rsidR="00E70EB1" w:rsidRDefault="00876C85">
            <w:pPr>
              <w:widowControl w:val="0"/>
              <w:autoSpaceDE w:val="0"/>
              <w:autoSpaceDN w:val="0"/>
              <w:spacing w:after="160" w:line="259" w:lineRule="auto"/>
              <w:jc w:val="both"/>
              <w:rPr>
                <w:rFonts w:eastAsia="Malgun Gothic" w:hAnsi="Malgun Gothic" w:cs="Malgun Gothic"/>
              </w:rPr>
            </w:pPr>
            <w:r>
              <w:t>1. Status on timely Direct</w:t>
            </w:r>
            <w:r>
              <w:rPr>
                <w:rFonts w:eastAsia="Malgun Gothic" w:hAnsi="Malgun Gothic" w:cs="Malgun Gothic"/>
              </w:rPr>
              <w:t xml:space="preserve"> Beneficiary Transfer (DBT) under JSY,JSSK ,ASHA,FP and NTEP etc.</w:t>
            </w:r>
          </w:p>
          <w:p w:rsidR="00E70EB1" w:rsidRDefault="00876C85">
            <w:pPr>
              <w:widowControl w:val="0"/>
              <w:autoSpaceDE w:val="0"/>
              <w:autoSpaceDN w:val="0"/>
              <w:spacing w:after="160" w:line="259" w:lineRule="auto"/>
              <w:jc w:val="both"/>
              <w:rPr>
                <w:rFonts w:eastAsia="Malgun Gothic" w:hAnsi="Malgun Gothic" w:cs="Malgun Gothic"/>
              </w:rPr>
            </w:pPr>
            <w:r>
              <w:rPr>
                <w:rFonts w:eastAsia="Malgun Gothic" w:hAnsi="Malgun Gothic" w:cs="Malgun Gothic"/>
              </w:rPr>
              <w:t xml:space="preserve">2. Checked implemented by the State for </w:t>
            </w:r>
            <w:r>
              <w:rPr>
                <w:rFonts w:eastAsia="Malgun Gothic" w:hAnsi="Malgun Gothic" w:cs="Malgun Gothic"/>
              </w:rPr>
              <w:t>making DBT payments.</w:t>
            </w:r>
          </w:p>
          <w:p w:rsidR="00E70EB1" w:rsidRDefault="00876C85">
            <w:pPr>
              <w:widowControl w:val="0"/>
              <w:autoSpaceDE w:val="0"/>
              <w:autoSpaceDN w:val="0"/>
              <w:spacing w:after="160" w:line="259" w:lineRule="auto"/>
              <w:jc w:val="both"/>
            </w:pPr>
            <w:r>
              <w:rPr>
                <w:rFonts w:eastAsia="Malgun Gothic" w:hAnsi="Malgun Gothic" w:cs="Malgun Gothic"/>
              </w:rPr>
              <w:t>3 . Internal control is adequate to ensure the payment are evidence based.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jc w:val="center"/>
              <w:rPr>
                <w:rFonts w:cstheme="minorBidi"/>
              </w:rPr>
            </w:pPr>
          </w:p>
        </w:tc>
      </w:tr>
      <w:tr w:rsidR="00E70EB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</w:pPr>
            <w:r>
              <w:t>25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widowControl w:val="0"/>
              <w:autoSpaceDE w:val="0"/>
              <w:autoSpaceDN w:val="0"/>
              <w:spacing w:after="160" w:line="259" w:lineRule="auto"/>
              <w:jc w:val="both"/>
              <w:rPr>
                <w:rFonts w:eastAsia="Malgun Gothic" w:hAnsi="Malgun Gothic" w:cs="Malgun Gothic"/>
              </w:rPr>
            </w:pPr>
            <w:r>
              <w:rPr>
                <w:b/>
              </w:rPr>
              <w:t>Delay on</w:t>
            </w:r>
            <w:r>
              <w:rPr>
                <w:rFonts w:eastAsia="Malgun Gothic" w:hAnsi="Malgun Gothic" w:cs="Malgun Gothic"/>
                <w:b/>
              </w:rPr>
              <w:t xml:space="preserve"> transfer of funds for programme implementation </w:t>
            </w:r>
            <w:r>
              <w:rPr>
                <w:rFonts w:eastAsia="Malgun Gothic" w:hAnsi="Malgun Gothic" w:cs="Malgun Gothic"/>
              </w:rPr>
              <w:t>:</w:t>
            </w:r>
          </w:p>
          <w:p w:rsidR="00E70EB1" w:rsidRDefault="00876C85">
            <w:pPr>
              <w:widowControl w:val="0"/>
              <w:autoSpaceDE w:val="0"/>
              <w:autoSpaceDN w:val="0"/>
              <w:spacing w:after="160" w:line="259" w:lineRule="auto"/>
              <w:jc w:val="both"/>
              <w:rPr>
                <w:rFonts w:eastAsia="Malgun Gothic" w:hAnsi="Malgun Gothic" w:cs="Malgun Gothic"/>
              </w:rPr>
            </w:pPr>
            <w:r>
              <w:rPr>
                <w:rFonts w:eastAsia="Malgun Gothic" w:hAnsi="Malgun Gothic" w:cs="Malgun Gothic"/>
              </w:rPr>
              <w:t>1. Status on time taken in receiving of funds from State Treasury to Single Nodal Account</w:t>
            </w:r>
          </w:p>
          <w:p w:rsidR="00E70EB1" w:rsidRDefault="00876C85">
            <w:pPr>
              <w:widowControl w:val="0"/>
              <w:autoSpaceDE w:val="0"/>
              <w:autoSpaceDN w:val="0"/>
              <w:spacing w:after="160" w:line="259" w:lineRule="auto"/>
              <w:jc w:val="both"/>
              <w:rPr>
                <w:rFonts w:eastAsia="Malgun Gothic" w:hAnsi="Malgun Gothic" w:cs="Malgun Gothic"/>
              </w:rPr>
            </w:pPr>
            <w:r>
              <w:rPr>
                <w:rFonts w:eastAsia="Malgun Gothic" w:hAnsi="Malgun Gothic" w:cs="Malgun Gothic"/>
              </w:rPr>
              <w:t>2. Whether the central funds and matching state share is transferred to Single Nodal Account within the mentioned timeline as per DOE</w:t>
            </w:r>
            <w:r>
              <w:rPr>
                <w:rFonts w:eastAsia="Malgun Gothic" w:hAnsi="Malgun Gothic" w:cs="Malgun Gothic"/>
              </w:rPr>
              <w:t>’</w:t>
            </w:r>
            <w:r>
              <w:rPr>
                <w:rFonts w:eastAsia="Malgun Gothic" w:hAnsi="Malgun Gothic" w:cs="Malgun Gothic"/>
              </w:rPr>
              <w:t>s letter dated 23.03.2021,23.03.2022 and 16.02.2023.</w:t>
            </w:r>
          </w:p>
          <w:p w:rsidR="00E70EB1" w:rsidRDefault="00876C85">
            <w:pPr>
              <w:widowControl w:val="0"/>
              <w:autoSpaceDE w:val="0"/>
              <w:autoSpaceDN w:val="0"/>
              <w:spacing w:after="160" w:line="259" w:lineRule="auto"/>
              <w:jc w:val="both"/>
            </w:pPr>
            <w:r>
              <w:rPr>
                <w:rFonts w:eastAsia="Malgun Gothic" w:hAnsi="Malgun Gothic" w:cs="Malgun Gothic"/>
              </w:rPr>
              <w:t>3. If delay is more than the mentioned timeline ,the efforts undertak</w:t>
            </w:r>
            <w:r>
              <w:rPr>
                <w:rFonts w:eastAsia="Malgun Gothic" w:hAnsi="Malgun Gothic" w:cs="Malgun Gothic"/>
              </w:rPr>
              <w:t xml:space="preserve">ing by the Single Nodoal Agency.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jc w:val="center"/>
              <w:rPr>
                <w:rFonts w:cstheme="minorBidi"/>
              </w:rPr>
            </w:pPr>
          </w:p>
        </w:tc>
      </w:tr>
      <w:tr w:rsidR="00E70EB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spacing w:after="200" w:line="275" w:lineRule="auto"/>
              <w:jc w:val="center"/>
            </w:pPr>
            <w:r>
              <w:t>26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876C85">
            <w:pPr>
              <w:widowControl w:val="0"/>
              <w:autoSpaceDE w:val="0"/>
              <w:autoSpaceDN w:val="0"/>
              <w:spacing w:after="160" w:line="259" w:lineRule="auto"/>
              <w:jc w:val="both"/>
              <w:rPr>
                <w:b/>
              </w:rPr>
            </w:pPr>
            <w:r>
              <w:rPr>
                <w:b/>
              </w:rPr>
              <w:t>SNA: SPARSH:</w:t>
            </w:r>
          </w:p>
          <w:p w:rsidR="00E70EB1" w:rsidRDefault="00E70EB1">
            <w:pPr>
              <w:widowControl w:val="0"/>
              <w:autoSpaceDE w:val="0"/>
              <w:autoSpaceDN w:val="0"/>
              <w:spacing w:after="160" w:line="259" w:lineRule="auto"/>
              <w:jc w:val="both"/>
              <w:rPr>
                <w:rFonts w:eastAsia="Malgun Gothic" w:hAnsi="Malgun Gothic" w:cs="Malgun Gothic"/>
              </w:rPr>
            </w:pPr>
          </w:p>
          <w:p w:rsidR="00E70EB1" w:rsidRDefault="00664C77">
            <w:pPr>
              <w:widowControl w:val="0"/>
              <w:autoSpaceDE w:val="0"/>
              <w:autoSpaceDN w:val="0"/>
              <w:spacing w:after="160" w:line="259" w:lineRule="auto"/>
              <w:ind w:left="227" w:hanging="283"/>
              <w:jc w:val="both"/>
              <w:rPr>
                <w:rFonts w:eastAsia="Malgun Gothic" w:hAnsi="Malgun Gothic" w:cs="Malgun Gothic"/>
              </w:rPr>
            </w:pPr>
            <w:r>
              <w:rPr>
                <w:rFonts w:eastAsia="Malgun Gothic" w:hAnsi="Malgun Gothic" w:cs="Malgun Gothic"/>
              </w:rPr>
              <w:lastRenderedPageBreak/>
              <w:t>1</w:t>
            </w:r>
            <w:r w:rsidR="00876C85">
              <w:rPr>
                <w:rFonts w:eastAsia="Malgun Gothic" w:hAnsi="Malgun Gothic" w:cs="Malgun Gothic"/>
              </w:rPr>
              <w:t xml:space="preserve">. Has the State on boarded NHM </w:t>
            </w:r>
            <w:r w:rsidR="00876C85">
              <w:rPr>
                <w:rFonts w:eastAsia="Malgun Gothic" w:hAnsi="Malgun Gothic" w:cs="Malgun Gothic"/>
              </w:rPr>
              <w:t>and PM-ABHIM</w:t>
            </w:r>
            <w:r w:rsidR="00876C85">
              <w:rPr>
                <w:rFonts w:eastAsia="Malgun Gothic" w:hAnsi="Malgun Gothic" w:cs="Malgun Gothic"/>
              </w:rPr>
              <w:t xml:space="preserve"> under</w:t>
            </w:r>
            <w:r w:rsidR="00876C85">
              <w:rPr>
                <w:rFonts w:eastAsia="Malgun Gothic" w:hAnsi="Malgun Gothic" w:cs="Malgun Gothic"/>
              </w:rPr>
              <w:t xml:space="preserve"> SNA - SPARSH</w:t>
            </w:r>
            <w:r w:rsidR="00876C85">
              <w:rPr>
                <w:rFonts w:eastAsia="Malgun Gothic" w:hAnsi="Malgun Gothic" w:cs="Malgun Gothic"/>
              </w:rPr>
              <w:t>.</w:t>
            </w:r>
          </w:p>
          <w:p w:rsidR="00E70EB1" w:rsidRDefault="00664C77">
            <w:pPr>
              <w:widowControl w:val="0"/>
              <w:autoSpaceDE w:val="0"/>
              <w:autoSpaceDN w:val="0"/>
              <w:spacing w:after="160" w:line="259" w:lineRule="auto"/>
              <w:jc w:val="both"/>
              <w:rPr>
                <w:rFonts w:eastAsia="Malgun Gothic" w:hAnsi="Malgun Gothic" w:cs="Malgun Gothic"/>
              </w:rPr>
            </w:pPr>
            <w:r>
              <w:rPr>
                <w:rFonts w:eastAsia="Malgun Gothic" w:hAnsi="Malgun Gothic" w:cs="Malgun Gothic"/>
              </w:rPr>
              <w:t>2</w:t>
            </w:r>
            <w:r w:rsidR="00876C85">
              <w:rPr>
                <w:rFonts w:eastAsia="Malgun Gothic" w:hAnsi="Malgun Gothic" w:cs="Malgun Gothic"/>
              </w:rPr>
              <w:t>. Has the State Closed the erstwhile SNA bank account of</w:t>
            </w:r>
            <w:r w:rsidR="00876C85">
              <w:rPr>
                <w:rFonts w:eastAsia="Malgun Gothic" w:hAnsi="Malgun Gothic" w:cs="Malgun Gothic"/>
              </w:rPr>
              <w:t xml:space="preserve"> NHM &amp; PM-ABHIM?</w:t>
            </w:r>
          </w:p>
          <w:p w:rsidR="00E70EB1" w:rsidRDefault="00664C77">
            <w:pPr>
              <w:widowControl w:val="0"/>
              <w:autoSpaceDE w:val="0"/>
              <w:autoSpaceDN w:val="0"/>
              <w:spacing w:after="160" w:line="259" w:lineRule="auto"/>
              <w:jc w:val="both"/>
              <w:rPr>
                <w:rFonts w:eastAsia="Malgun Gothic" w:hAnsi="Malgun Gothic" w:cs="Malgun Gothic"/>
              </w:rPr>
            </w:pPr>
            <w:r>
              <w:rPr>
                <w:rFonts w:eastAsia="Malgun Gothic" w:hAnsi="Malgun Gothic" w:cs="Malgun Gothic"/>
              </w:rPr>
              <w:t>3</w:t>
            </w:r>
            <w:r w:rsidR="00876C85">
              <w:rPr>
                <w:rFonts w:eastAsia="Malgun Gothic" w:hAnsi="Malgun Gothic" w:cs="Malgun Gothic"/>
              </w:rPr>
              <w:t>. Has the State refunded the unspent central share of erstwhile SNA account to Consolidated Funds of India?</w:t>
            </w:r>
          </w:p>
          <w:p w:rsidR="00E70EB1" w:rsidRDefault="006B1D58">
            <w:pPr>
              <w:widowControl w:val="0"/>
              <w:autoSpaceDE w:val="0"/>
              <w:autoSpaceDN w:val="0"/>
              <w:spacing w:after="160" w:line="259" w:lineRule="auto"/>
              <w:jc w:val="both"/>
              <w:rPr>
                <w:rFonts w:eastAsia="Malgun Gothic" w:hAnsi="Malgun Gothic" w:cs="Malgun Gothic"/>
              </w:rPr>
            </w:pPr>
            <w:r>
              <w:rPr>
                <w:rFonts w:eastAsia="Malgun Gothic" w:hAnsi="Malgun Gothic" w:cs="Malgun Gothic"/>
              </w:rPr>
              <w:t>4</w:t>
            </w:r>
            <w:r w:rsidR="00876C85">
              <w:rPr>
                <w:rFonts w:eastAsia="Malgun Gothic" w:hAnsi="Malgun Gothic" w:cs="Malgun Gothic"/>
              </w:rPr>
              <w:t>. Has the State started sending the daily payment files under SNA SPARS</w:t>
            </w:r>
            <w:r w:rsidR="00876C85">
              <w:rPr>
                <w:rFonts w:eastAsia="Malgun Gothic" w:hAnsi="Malgun Gothic" w:cs="Malgun Gothic"/>
              </w:rPr>
              <w:t>H?</w:t>
            </w:r>
          </w:p>
          <w:p w:rsidR="00664C77" w:rsidRDefault="006B1D58">
            <w:pPr>
              <w:widowControl w:val="0"/>
              <w:autoSpaceDE w:val="0"/>
              <w:autoSpaceDN w:val="0"/>
              <w:spacing w:after="160" w:line="259" w:lineRule="auto"/>
              <w:jc w:val="both"/>
              <w:rPr>
                <w:rFonts w:eastAsia="Malgun Gothic" w:hAnsi="Malgun Gothic" w:cs="Malgun Gothic"/>
              </w:rPr>
            </w:pPr>
            <w:r>
              <w:rPr>
                <w:rFonts w:eastAsia="Malgun Gothic" w:hAnsi="Malgun Gothic" w:cs="Malgun Gothic"/>
              </w:rPr>
              <w:t>5</w:t>
            </w:r>
            <w:bookmarkStart w:id="0" w:name="_GoBack"/>
            <w:bookmarkEnd w:id="0"/>
            <w:r w:rsidR="00664C77">
              <w:rPr>
                <w:rFonts w:eastAsia="Malgun Gothic" w:hAnsi="Malgun Gothic" w:cs="Malgun Gothic"/>
              </w:rPr>
              <w:t>. Has the State opened the 0:100 SLS for utilization of State share on Infrastructure Maintenance and Commodity grants ?</w:t>
            </w:r>
          </w:p>
          <w:p w:rsidR="00E70EB1" w:rsidRDefault="00E70EB1">
            <w:pPr>
              <w:widowControl w:val="0"/>
              <w:autoSpaceDE w:val="0"/>
              <w:autoSpaceDN w:val="0"/>
              <w:spacing w:after="160" w:line="259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spacing w:after="200" w:line="275" w:lineRule="auto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0EB1" w:rsidRDefault="00E70EB1">
            <w:pPr>
              <w:jc w:val="center"/>
              <w:rPr>
                <w:rFonts w:cstheme="minorBidi"/>
              </w:rPr>
            </w:pPr>
          </w:p>
        </w:tc>
      </w:tr>
    </w:tbl>
    <w:p w:rsidR="00E70EB1" w:rsidRDefault="00E70EB1"/>
    <w:sectPr w:rsidR="00E70EB1">
      <w:footerReference w:type="even" r:id="rId7"/>
      <w:footerReference w:type="default" r:id="rId8"/>
      <w:pgSz w:w="11907" w:h="16839" w:code="9"/>
      <w:pgMar w:top="851" w:right="1440" w:bottom="1440" w:left="1440" w:header="720" w:footer="720" w:gutter="0"/>
      <w:cols w:space="720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C85" w:rsidRDefault="00876C85">
      <w:pPr>
        <w:spacing w:line="240" w:lineRule="auto"/>
      </w:pPr>
      <w:r>
        <w:separator/>
      </w:r>
    </w:p>
  </w:endnote>
  <w:endnote w:type="continuationSeparator" w:id="0">
    <w:p w:rsidR="00876C85" w:rsidRDefault="00876C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B1" w:rsidRDefault="00876C85">
    <w:pPr>
      <w:pStyle w:val="Footer"/>
      <w:rPr>
        <w:rStyle w:val="PageNumber"/>
      </w:rPr>
    </w:pPr>
    <w:r>
      <w:fldChar w:fldCharType="begin"/>
    </w:r>
    <w:r>
      <w:rPr>
        <w:rFonts w:hint="eastAsia"/>
      </w:rPr>
      <w:instrText>PAGE  \* MERGEFORMAT</w:instrText>
    </w:r>
    <w: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70EB1" w:rsidRDefault="00E70E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B1" w:rsidRDefault="00876C85">
    <w:pPr>
      <w:pStyle w:val="Footer"/>
      <w:rPr>
        <w:rStyle w:val="PageNumber"/>
      </w:rPr>
    </w:pPr>
    <w:r>
      <w:fldChar w:fldCharType="begin"/>
    </w:r>
    <w:r>
      <w:rPr>
        <w:rFonts w:hint="eastAsia"/>
      </w:rPr>
      <w:instrText>PAGE  \* MERGEFORMAT</w:instrText>
    </w:r>
    <w:r>
      <w:fldChar w:fldCharType="separate"/>
    </w:r>
    <w:r w:rsidR="006B1D58" w:rsidRPr="006B1D58">
      <w:rPr>
        <w:rStyle w:val="PageNumber"/>
        <w:noProof/>
      </w:rPr>
      <w:t>4</w:t>
    </w:r>
    <w:r>
      <w:rPr>
        <w:rStyle w:val="PageNumber"/>
      </w:rPr>
      <w:fldChar w:fldCharType="end"/>
    </w:r>
  </w:p>
  <w:p w:rsidR="00E70EB1" w:rsidRDefault="00E70E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C85" w:rsidRDefault="00876C85">
      <w:pPr>
        <w:spacing w:line="240" w:lineRule="auto"/>
      </w:pPr>
      <w:r>
        <w:separator/>
      </w:r>
    </w:p>
  </w:footnote>
  <w:footnote w:type="continuationSeparator" w:id="0">
    <w:p w:rsidR="00876C85" w:rsidRDefault="00876C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00000"/>
    <w:multiLevelType w:val="hybridMultilevel"/>
    <w:tmpl w:val="1F000014"/>
    <w:lvl w:ilvl="0" w:tplc="2F6A50C6">
      <w:start w:val="9"/>
      <w:numFmt w:val="decimal"/>
      <w:lvlText w:val="%1."/>
      <w:lvlJc w:val="left"/>
      <w:rPr>
        <w:shd w:val="clear" w:color="auto" w:fill="auto"/>
      </w:rPr>
    </w:lvl>
    <w:lvl w:ilvl="1" w:tplc="177A2CB6">
      <w:start w:val="10"/>
      <w:numFmt w:val="decimal"/>
      <w:lvlText w:val="%2."/>
      <w:lvlJc w:val="left"/>
      <w:rPr>
        <w:shd w:val="clear" w:color="auto" w:fill="auto"/>
      </w:rPr>
    </w:lvl>
    <w:lvl w:ilvl="2" w:tplc="C846D656">
      <w:start w:val="1"/>
      <w:numFmt w:val="lowerLetter"/>
      <w:lvlText w:val="%3)"/>
      <w:lvlJc w:val="left"/>
      <w:rPr>
        <w:b w:val="0"/>
        <w:shd w:val="clear" w:color="auto" w:fill="auto"/>
      </w:rPr>
    </w:lvl>
    <w:lvl w:ilvl="3" w:tplc="3D16E6D4">
      <w:start w:val="1"/>
      <w:numFmt w:val="bullet"/>
      <w:lvlText w:val=""/>
      <w:lvlJc w:val="left"/>
      <w:rPr>
        <w:shd w:val="clear" w:color="auto" w:fill="auto"/>
      </w:rPr>
    </w:lvl>
    <w:lvl w:ilvl="4" w:tplc="DFFA323C">
      <w:start w:val="1"/>
      <w:numFmt w:val="bullet"/>
      <w:lvlText w:val=""/>
      <w:lvlJc w:val="left"/>
      <w:rPr>
        <w:shd w:val="clear" w:color="auto" w:fill="auto"/>
      </w:rPr>
    </w:lvl>
    <w:lvl w:ilvl="5" w:tplc="92E8698E">
      <w:start w:val="1"/>
      <w:numFmt w:val="bullet"/>
      <w:lvlText w:val=""/>
      <w:lvlJc w:val="left"/>
      <w:rPr>
        <w:shd w:val="clear" w:color="auto" w:fill="auto"/>
      </w:rPr>
    </w:lvl>
    <w:lvl w:ilvl="6" w:tplc="C5E09660">
      <w:start w:val="1"/>
      <w:numFmt w:val="bullet"/>
      <w:lvlText w:val=""/>
      <w:lvlJc w:val="left"/>
      <w:rPr>
        <w:shd w:val="clear" w:color="auto" w:fill="auto"/>
      </w:rPr>
    </w:lvl>
    <w:lvl w:ilvl="7" w:tplc="6A6651BA">
      <w:start w:val="1"/>
      <w:numFmt w:val="bullet"/>
      <w:lvlText w:val=""/>
      <w:lvlJc w:val="left"/>
      <w:rPr>
        <w:shd w:val="clear" w:color="auto" w:fill="auto"/>
      </w:rPr>
    </w:lvl>
    <w:lvl w:ilvl="8" w:tplc="D8C488EC">
      <w:start w:val="1"/>
      <w:numFmt w:val="bullet"/>
      <w:lvlText w:val=""/>
      <w:lvlJc w:val="left"/>
      <w:rPr>
        <w:shd w:val="clear" w:color="auto" w:fill="auto"/>
      </w:rPr>
    </w:lvl>
  </w:abstractNum>
  <w:abstractNum w:abstractNumId="1" w15:restartNumberingAfterBreak="0">
    <w:nsid w:val="2F000001"/>
    <w:multiLevelType w:val="multilevel"/>
    <w:tmpl w:val="1F002411"/>
    <w:lvl w:ilvl="0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shd w:val="clear" w:color="auto" w:fill="auto"/>
      </w:rPr>
    </w:lvl>
    <w:lvl w:ilvl="1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shd w:val="clear" w:color="auto" w:fill="auto"/>
      </w:rPr>
    </w:lvl>
    <w:lvl w:ilvl="2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shd w:val="clear" w:color="auto" w:fill="auto"/>
      </w:rPr>
    </w:lvl>
    <w:lvl w:ilvl="3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shd w:val="clear" w:color="auto" w:fill="auto"/>
      </w:rPr>
    </w:lvl>
    <w:lvl w:ilvl="4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shd w:val="clear" w:color="auto" w:fill="auto"/>
      </w:rPr>
    </w:lvl>
    <w:lvl w:ilvl="5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shd w:val="clear" w:color="auto" w:fill="auto"/>
      </w:rPr>
    </w:lvl>
    <w:lvl w:ilvl="6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shd w:val="clear" w:color="auto" w:fill="auto"/>
      </w:rPr>
    </w:lvl>
    <w:lvl w:ilvl="7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shd w:val="clear" w:color="auto" w:fill="auto"/>
      </w:rPr>
    </w:lvl>
    <w:lvl w:ilvl="8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shd w:val="clear" w:color="auto" w:fill="auto"/>
      </w:rPr>
    </w:lvl>
  </w:abstractNum>
  <w:abstractNum w:abstractNumId="2" w15:restartNumberingAfterBreak="0">
    <w:nsid w:val="2F000002"/>
    <w:multiLevelType w:val="multilevel"/>
    <w:tmpl w:val="1F000C5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hd w:val="clear" w:color="auto" w:fill="auto"/>
      </w:rPr>
    </w:lvl>
    <w:lvl w:ilvl="1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hd w:val="clear" w:color="auto" w:fill="auto"/>
      </w:rPr>
    </w:lvl>
    <w:lvl w:ilvl="2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hd w:val="clear" w:color="auto" w:fill="auto"/>
      </w:rPr>
    </w:lvl>
    <w:lvl w:ilvl="3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hd w:val="clear" w:color="auto" w:fill="auto"/>
      </w:rPr>
    </w:lvl>
    <w:lvl w:ilvl="4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hd w:val="clear" w:color="auto" w:fill="auto"/>
      </w:rPr>
    </w:lvl>
    <w:lvl w:ilvl="5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hd w:val="clear" w:color="auto" w:fill="auto"/>
      </w:rPr>
    </w:lvl>
    <w:lvl w:ilvl="6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hd w:val="clear" w:color="auto" w:fill="auto"/>
      </w:rPr>
    </w:lvl>
    <w:lvl w:ilvl="7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hd w:val="clear" w:color="auto" w:fill="auto"/>
      </w:rPr>
    </w:lvl>
    <w:lvl w:ilvl="8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hd w:val="clear" w:color="auto" w:fill="auto"/>
      </w:rPr>
    </w:lvl>
  </w:abstractNum>
  <w:abstractNum w:abstractNumId="3" w15:restartNumberingAfterBreak="0">
    <w:nsid w:val="2F000003"/>
    <w:multiLevelType w:val="multilevel"/>
    <w:tmpl w:val="1F0033C2"/>
    <w:lvl w:ilvl="0">
      <w:start w:val="1"/>
      <w:numFmt w:val="lowerLetter"/>
      <w:lvlText w:val="%1."/>
      <w:lvlJc w:val="left"/>
      <w:pPr>
        <w:tabs>
          <w:tab w:val="left" w:pos="360"/>
        </w:tabs>
        <w:ind w:left="360" w:hanging="360"/>
      </w:pPr>
      <w:rPr>
        <w:shd w:val="clear" w:color="auto" w:fill="auto"/>
      </w:rPr>
    </w:lvl>
    <w:lvl w:ilvl="1">
      <w:start w:val="1"/>
      <w:numFmt w:val="lowerLetter"/>
      <w:lvlText w:val="%1."/>
      <w:lvlJc w:val="left"/>
      <w:pPr>
        <w:tabs>
          <w:tab w:val="left" w:pos="360"/>
        </w:tabs>
        <w:ind w:left="360" w:hanging="360"/>
      </w:pPr>
      <w:rPr>
        <w:shd w:val="clear" w:color="auto" w:fill="auto"/>
      </w:rPr>
    </w:lvl>
    <w:lvl w:ilvl="2">
      <w:start w:val="1"/>
      <w:numFmt w:val="lowerLetter"/>
      <w:lvlText w:val="%1."/>
      <w:lvlJc w:val="left"/>
      <w:pPr>
        <w:tabs>
          <w:tab w:val="left" w:pos="360"/>
        </w:tabs>
        <w:ind w:left="360" w:hanging="360"/>
      </w:pPr>
      <w:rPr>
        <w:shd w:val="clear" w:color="auto" w:fill="auto"/>
      </w:rPr>
    </w:lvl>
    <w:lvl w:ilvl="3">
      <w:start w:val="1"/>
      <w:numFmt w:val="lowerLetter"/>
      <w:lvlText w:val="%1."/>
      <w:lvlJc w:val="left"/>
      <w:pPr>
        <w:tabs>
          <w:tab w:val="left" w:pos="360"/>
        </w:tabs>
        <w:ind w:left="360" w:hanging="360"/>
      </w:pPr>
      <w:rPr>
        <w:shd w:val="clear" w:color="auto" w:fill="auto"/>
      </w:rPr>
    </w:lvl>
    <w:lvl w:ilvl="4">
      <w:start w:val="1"/>
      <w:numFmt w:val="lowerLetter"/>
      <w:lvlText w:val="%1."/>
      <w:lvlJc w:val="left"/>
      <w:pPr>
        <w:tabs>
          <w:tab w:val="left" w:pos="360"/>
        </w:tabs>
        <w:ind w:left="360" w:hanging="360"/>
      </w:pPr>
      <w:rPr>
        <w:shd w:val="clear" w:color="auto" w:fill="auto"/>
      </w:rPr>
    </w:lvl>
    <w:lvl w:ilvl="5">
      <w:start w:val="1"/>
      <w:numFmt w:val="lowerLetter"/>
      <w:lvlText w:val="%1."/>
      <w:lvlJc w:val="left"/>
      <w:pPr>
        <w:tabs>
          <w:tab w:val="left" w:pos="360"/>
        </w:tabs>
        <w:ind w:left="360" w:hanging="360"/>
      </w:pPr>
      <w:rPr>
        <w:shd w:val="clear" w:color="auto" w:fill="auto"/>
      </w:rPr>
    </w:lvl>
    <w:lvl w:ilvl="6">
      <w:start w:val="1"/>
      <w:numFmt w:val="lowerLetter"/>
      <w:lvlText w:val="%1."/>
      <w:lvlJc w:val="left"/>
      <w:pPr>
        <w:tabs>
          <w:tab w:val="left" w:pos="360"/>
        </w:tabs>
        <w:ind w:left="360" w:hanging="360"/>
      </w:pPr>
      <w:rPr>
        <w:shd w:val="clear" w:color="auto" w:fill="auto"/>
      </w:rPr>
    </w:lvl>
    <w:lvl w:ilvl="7">
      <w:start w:val="1"/>
      <w:numFmt w:val="lowerLetter"/>
      <w:lvlText w:val="%1."/>
      <w:lvlJc w:val="left"/>
      <w:pPr>
        <w:tabs>
          <w:tab w:val="left" w:pos="360"/>
        </w:tabs>
        <w:ind w:left="360" w:hanging="360"/>
      </w:pPr>
      <w:rPr>
        <w:shd w:val="clear" w:color="auto" w:fill="auto"/>
      </w:rPr>
    </w:lvl>
    <w:lvl w:ilvl="8">
      <w:start w:val="1"/>
      <w:numFmt w:val="lowerLetter"/>
      <w:lvlText w:val="%1."/>
      <w:lvlJc w:val="left"/>
      <w:pPr>
        <w:tabs>
          <w:tab w:val="left" w:pos="360"/>
        </w:tabs>
        <w:ind w:left="360" w:hanging="360"/>
      </w:pPr>
      <w:rPr>
        <w:shd w:val="clear" w:color="auto" w:fill="auto"/>
      </w:rPr>
    </w:lvl>
  </w:abstractNum>
  <w:abstractNum w:abstractNumId="4" w15:restartNumberingAfterBreak="0">
    <w:nsid w:val="2F000004"/>
    <w:multiLevelType w:val="hybridMultilevel"/>
    <w:tmpl w:val="1F002570"/>
    <w:lvl w:ilvl="0" w:tplc="0558440A">
      <w:start w:val="1"/>
      <w:numFmt w:val="decimal"/>
      <w:lvlText w:val="%1."/>
      <w:lvlJc w:val="left"/>
      <w:pPr>
        <w:ind w:left="720" w:hanging="360"/>
      </w:pPr>
      <w:rPr>
        <w:rFonts w:hint="default"/>
        <w:shd w:val="clear" w:color="auto" w:fill="auto"/>
      </w:rPr>
    </w:lvl>
    <w:lvl w:ilvl="1" w:tplc="B956B1AE">
      <w:start w:val="1"/>
      <w:numFmt w:val="lowerLetter"/>
      <w:lvlText w:val="%2."/>
      <w:lvlJc w:val="left"/>
      <w:pPr>
        <w:ind w:left="1440" w:hanging="360"/>
      </w:pPr>
      <w:rPr>
        <w:shd w:val="clear" w:color="auto" w:fill="auto"/>
      </w:rPr>
    </w:lvl>
    <w:lvl w:ilvl="2" w:tplc="E6FE5BF6">
      <w:start w:val="1"/>
      <w:numFmt w:val="lowerRoman"/>
      <w:lvlText w:val="%3."/>
      <w:lvlJc w:val="right"/>
      <w:pPr>
        <w:ind w:left="2160" w:hanging="180"/>
      </w:pPr>
      <w:rPr>
        <w:shd w:val="clear" w:color="auto" w:fill="auto"/>
      </w:rPr>
    </w:lvl>
    <w:lvl w:ilvl="3" w:tplc="6274940E">
      <w:start w:val="1"/>
      <w:numFmt w:val="decimal"/>
      <w:lvlText w:val="%4."/>
      <w:lvlJc w:val="left"/>
      <w:pPr>
        <w:ind w:left="2880" w:hanging="360"/>
      </w:pPr>
      <w:rPr>
        <w:shd w:val="clear" w:color="auto" w:fill="auto"/>
      </w:rPr>
    </w:lvl>
    <w:lvl w:ilvl="4" w:tplc="4D8EAD6A">
      <w:start w:val="1"/>
      <w:numFmt w:val="lowerLetter"/>
      <w:lvlText w:val="%5."/>
      <w:lvlJc w:val="left"/>
      <w:pPr>
        <w:ind w:left="3600" w:hanging="360"/>
      </w:pPr>
      <w:rPr>
        <w:shd w:val="clear" w:color="auto" w:fill="auto"/>
      </w:rPr>
    </w:lvl>
    <w:lvl w:ilvl="5" w:tplc="626EA0A6">
      <w:start w:val="1"/>
      <w:numFmt w:val="lowerRoman"/>
      <w:lvlText w:val="%6."/>
      <w:lvlJc w:val="right"/>
      <w:pPr>
        <w:ind w:left="4320" w:hanging="180"/>
      </w:pPr>
      <w:rPr>
        <w:shd w:val="clear" w:color="auto" w:fill="auto"/>
      </w:rPr>
    </w:lvl>
    <w:lvl w:ilvl="6" w:tplc="9EDCF6BC">
      <w:start w:val="1"/>
      <w:numFmt w:val="decimal"/>
      <w:lvlText w:val="%7."/>
      <w:lvlJc w:val="left"/>
      <w:pPr>
        <w:ind w:left="5040" w:hanging="360"/>
      </w:pPr>
      <w:rPr>
        <w:shd w:val="clear" w:color="auto" w:fill="auto"/>
      </w:rPr>
    </w:lvl>
    <w:lvl w:ilvl="7" w:tplc="26CE0804">
      <w:start w:val="1"/>
      <w:numFmt w:val="lowerLetter"/>
      <w:lvlText w:val="%8."/>
      <w:lvlJc w:val="left"/>
      <w:pPr>
        <w:ind w:left="5760" w:hanging="360"/>
      </w:pPr>
      <w:rPr>
        <w:shd w:val="clear" w:color="auto" w:fill="auto"/>
      </w:rPr>
    </w:lvl>
    <w:lvl w:ilvl="8" w:tplc="EBE68848">
      <w:start w:val="1"/>
      <w:numFmt w:val="lowerRoman"/>
      <w:lvlText w:val="%9."/>
      <w:lvlJc w:val="right"/>
      <w:pPr>
        <w:ind w:left="6480" w:hanging="180"/>
      </w:pPr>
      <w:rPr>
        <w:shd w:val="clear" w:color="auto" w:fill="auto"/>
      </w:rPr>
    </w:lvl>
  </w:abstractNum>
  <w:abstractNum w:abstractNumId="5" w15:restartNumberingAfterBreak="0">
    <w:nsid w:val="2F000005"/>
    <w:multiLevelType w:val="hybridMultilevel"/>
    <w:tmpl w:val="1F001EB6"/>
    <w:lvl w:ilvl="0" w:tplc="5B30D98A">
      <w:start w:val="1"/>
      <w:numFmt w:val="upperRoman"/>
      <w:pStyle w:val="Heading6"/>
      <w:lvlText w:val="%1."/>
      <w:lvlJc w:val="left"/>
      <w:pPr>
        <w:tabs>
          <w:tab w:val="left" w:pos="720"/>
        </w:tabs>
        <w:ind w:left="432" w:hanging="432"/>
      </w:pPr>
      <w:rPr>
        <w:rFonts w:ascii="Arial Narrow" w:hAnsi="Arial Narrow" w:hint="default"/>
        <w:b/>
        <w:i w:val="0"/>
        <w:sz w:val="24"/>
        <w:szCs w:val="24"/>
        <w:shd w:val="clear" w:color="auto" w:fill="auto"/>
      </w:rPr>
    </w:lvl>
    <w:lvl w:ilvl="1" w:tplc="FFD417E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shd w:val="clear" w:color="auto" w:fill="auto"/>
      </w:rPr>
    </w:lvl>
    <w:lvl w:ilvl="2" w:tplc="37FE672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shd w:val="clear" w:color="auto" w:fill="auto"/>
      </w:rPr>
    </w:lvl>
    <w:lvl w:ilvl="3" w:tplc="AFA853F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shd w:val="clear" w:color="auto" w:fill="auto"/>
      </w:rPr>
    </w:lvl>
    <w:lvl w:ilvl="4" w:tplc="AC90B7AA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shd w:val="clear" w:color="auto" w:fill="auto"/>
      </w:rPr>
    </w:lvl>
    <w:lvl w:ilvl="5" w:tplc="7AF484C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shd w:val="clear" w:color="auto" w:fill="auto"/>
      </w:rPr>
    </w:lvl>
    <w:lvl w:ilvl="6" w:tplc="3ECEB3FA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shd w:val="clear" w:color="auto" w:fill="auto"/>
      </w:rPr>
    </w:lvl>
    <w:lvl w:ilvl="7" w:tplc="31CCE8EA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shd w:val="clear" w:color="auto" w:fill="auto"/>
      </w:rPr>
    </w:lvl>
    <w:lvl w:ilvl="8" w:tplc="14DA31FC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shd w:val="clear" w:color="auto" w:fill="auto"/>
      </w:rPr>
    </w:lvl>
  </w:abstractNum>
  <w:abstractNum w:abstractNumId="6" w15:restartNumberingAfterBreak="0">
    <w:nsid w:val="2F000006"/>
    <w:multiLevelType w:val="hybridMultilevel"/>
    <w:tmpl w:val="1F00166B"/>
    <w:lvl w:ilvl="0" w:tplc="89D63CBE">
      <w:start w:val="1"/>
      <w:numFmt w:val="lowerRoman"/>
      <w:lvlText w:val="%1)"/>
      <w:lvlJc w:val="left"/>
      <w:pPr>
        <w:ind w:left="1440" w:hanging="720"/>
      </w:pPr>
      <w:rPr>
        <w:rFonts w:hint="default"/>
        <w:shd w:val="clear" w:color="auto" w:fill="auto"/>
      </w:rPr>
    </w:lvl>
    <w:lvl w:ilvl="1" w:tplc="933CE716">
      <w:start w:val="1"/>
      <w:numFmt w:val="lowerLetter"/>
      <w:lvlText w:val="%2."/>
      <w:lvlJc w:val="left"/>
      <w:pPr>
        <w:ind w:left="1800" w:hanging="360"/>
      </w:pPr>
      <w:rPr>
        <w:shd w:val="clear" w:color="auto" w:fill="auto"/>
      </w:rPr>
    </w:lvl>
    <w:lvl w:ilvl="2" w:tplc="C1A8F75C">
      <w:start w:val="1"/>
      <w:numFmt w:val="lowerRoman"/>
      <w:lvlText w:val="%3."/>
      <w:lvlJc w:val="right"/>
      <w:pPr>
        <w:ind w:left="2520" w:hanging="180"/>
      </w:pPr>
      <w:rPr>
        <w:shd w:val="clear" w:color="auto" w:fill="auto"/>
      </w:rPr>
    </w:lvl>
    <w:lvl w:ilvl="3" w:tplc="1166E53A">
      <w:start w:val="1"/>
      <w:numFmt w:val="decimal"/>
      <w:lvlText w:val="%4."/>
      <w:lvlJc w:val="left"/>
      <w:pPr>
        <w:ind w:left="3240" w:hanging="360"/>
      </w:pPr>
      <w:rPr>
        <w:shd w:val="clear" w:color="auto" w:fill="auto"/>
      </w:rPr>
    </w:lvl>
    <w:lvl w:ilvl="4" w:tplc="828CAA2C">
      <w:start w:val="1"/>
      <w:numFmt w:val="lowerLetter"/>
      <w:lvlText w:val="%5."/>
      <w:lvlJc w:val="left"/>
      <w:pPr>
        <w:ind w:left="3960" w:hanging="360"/>
      </w:pPr>
      <w:rPr>
        <w:shd w:val="clear" w:color="auto" w:fill="auto"/>
      </w:rPr>
    </w:lvl>
    <w:lvl w:ilvl="5" w:tplc="0FC2CBE4">
      <w:start w:val="1"/>
      <w:numFmt w:val="lowerRoman"/>
      <w:lvlText w:val="%6."/>
      <w:lvlJc w:val="right"/>
      <w:pPr>
        <w:ind w:left="4680" w:hanging="180"/>
      </w:pPr>
      <w:rPr>
        <w:shd w:val="clear" w:color="auto" w:fill="auto"/>
      </w:rPr>
    </w:lvl>
    <w:lvl w:ilvl="6" w:tplc="7890AE6A">
      <w:start w:val="1"/>
      <w:numFmt w:val="decimal"/>
      <w:lvlText w:val="%7."/>
      <w:lvlJc w:val="left"/>
      <w:pPr>
        <w:ind w:left="5400" w:hanging="360"/>
      </w:pPr>
      <w:rPr>
        <w:shd w:val="clear" w:color="auto" w:fill="auto"/>
      </w:rPr>
    </w:lvl>
    <w:lvl w:ilvl="7" w:tplc="B70A6CAA">
      <w:start w:val="1"/>
      <w:numFmt w:val="lowerLetter"/>
      <w:lvlText w:val="%8."/>
      <w:lvlJc w:val="left"/>
      <w:pPr>
        <w:ind w:left="6120" w:hanging="360"/>
      </w:pPr>
      <w:rPr>
        <w:shd w:val="clear" w:color="auto" w:fill="auto"/>
      </w:rPr>
    </w:lvl>
    <w:lvl w:ilvl="8" w:tplc="1302865E">
      <w:start w:val="1"/>
      <w:numFmt w:val="lowerRoman"/>
      <w:lvlText w:val="%9."/>
      <w:lvlJc w:val="right"/>
      <w:pPr>
        <w:ind w:left="6840" w:hanging="180"/>
      </w:pPr>
      <w:rPr>
        <w:shd w:val="clear" w:color="auto" w:fill="auto"/>
      </w:rPr>
    </w:lvl>
  </w:abstractNum>
  <w:abstractNum w:abstractNumId="7" w15:restartNumberingAfterBreak="0">
    <w:nsid w:val="2F000007"/>
    <w:multiLevelType w:val="hybridMultilevel"/>
    <w:tmpl w:val="1F003957"/>
    <w:lvl w:ilvl="0" w:tplc="92BEFCC2">
      <w:start w:val="1"/>
      <w:numFmt w:val="lowerLetter"/>
      <w:lvlText w:val="%1)"/>
      <w:lvlJc w:val="left"/>
      <w:pPr>
        <w:ind w:left="1440" w:hanging="360"/>
      </w:pPr>
      <w:rPr>
        <w:rFonts w:hint="default"/>
        <w:shd w:val="clear" w:color="auto" w:fill="auto"/>
      </w:rPr>
    </w:lvl>
    <w:lvl w:ilvl="1" w:tplc="6216418A">
      <w:start w:val="1"/>
      <w:numFmt w:val="lowerLetter"/>
      <w:lvlText w:val="%2."/>
      <w:lvlJc w:val="left"/>
      <w:pPr>
        <w:ind w:left="2160" w:hanging="360"/>
      </w:pPr>
      <w:rPr>
        <w:shd w:val="clear" w:color="auto" w:fill="auto"/>
      </w:rPr>
    </w:lvl>
    <w:lvl w:ilvl="2" w:tplc="A336B6CE">
      <w:start w:val="1"/>
      <w:numFmt w:val="lowerRoman"/>
      <w:lvlText w:val="%3."/>
      <w:lvlJc w:val="right"/>
      <w:pPr>
        <w:ind w:left="2880" w:hanging="180"/>
      </w:pPr>
      <w:rPr>
        <w:shd w:val="clear" w:color="auto" w:fill="auto"/>
      </w:rPr>
    </w:lvl>
    <w:lvl w:ilvl="3" w:tplc="93664CB8">
      <w:start w:val="1"/>
      <w:numFmt w:val="decimal"/>
      <w:lvlText w:val="%4."/>
      <w:lvlJc w:val="left"/>
      <w:pPr>
        <w:ind w:left="3600" w:hanging="360"/>
      </w:pPr>
      <w:rPr>
        <w:shd w:val="clear" w:color="auto" w:fill="auto"/>
      </w:rPr>
    </w:lvl>
    <w:lvl w:ilvl="4" w:tplc="7D385F86">
      <w:start w:val="1"/>
      <w:numFmt w:val="lowerLetter"/>
      <w:lvlText w:val="%5."/>
      <w:lvlJc w:val="left"/>
      <w:pPr>
        <w:ind w:left="4320" w:hanging="360"/>
      </w:pPr>
      <w:rPr>
        <w:shd w:val="clear" w:color="auto" w:fill="auto"/>
      </w:rPr>
    </w:lvl>
    <w:lvl w:ilvl="5" w:tplc="F40E868E">
      <w:start w:val="1"/>
      <w:numFmt w:val="lowerRoman"/>
      <w:lvlText w:val="%6."/>
      <w:lvlJc w:val="right"/>
      <w:pPr>
        <w:ind w:left="5040" w:hanging="180"/>
      </w:pPr>
      <w:rPr>
        <w:shd w:val="clear" w:color="auto" w:fill="auto"/>
      </w:rPr>
    </w:lvl>
    <w:lvl w:ilvl="6" w:tplc="7A1032FC">
      <w:start w:val="1"/>
      <w:numFmt w:val="decimal"/>
      <w:lvlText w:val="%7."/>
      <w:lvlJc w:val="left"/>
      <w:pPr>
        <w:ind w:left="5760" w:hanging="360"/>
      </w:pPr>
      <w:rPr>
        <w:shd w:val="clear" w:color="auto" w:fill="auto"/>
      </w:rPr>
    </w:lvl>
    <w:lvl w:ilvl="7" w:tplc="66B24D34">
      <w:start w:val="1"/>
      <w:numFmt w:val="lowerLetter"/>
      <w:lvlText w:val="%8."/>
      <w:lvlJc w:val="left"/>
      <w:pPr>
        <w:ind w:left="6480" w:hanging="360"/>
      </w:pPr>
      <w:rPr>
        <w:shd w:val="clear" w:color="auto" w:fill="auto"/>
      </w:rPr>
    </w:lvl>
    <w:lvl w:ilvl="8" w:tplc="36B89870">
      <w:start w:val="1"/>
      <w:numFmt w:val="lowerRoman"/>
      <w:lvlText w:val="%9."/>
      <w:lvlJc w:val="right"/>
      <w:pPr>
        <w:ind w:left="7200" w:hanging="180"/>
      </w:pPr>
      <w:rPr>
        <w:shd w:val="clear" w:color="auto" w:fill="auto"/>
      </w:rPr>
    </w:lvl>
  </w:abstractNum>
  <w:abstractNum w:abstractNumId="8" w15:restartNumberingAfterBreak="0">
    <w:nsid w:val="2F000008"/>
    <w:multiLevelType w:val="hybridMultilevel"/>
    <w:tmpl w:val="1F0034A9"/>
    <w:lvl w:ilvl="0" w:tplc="BE24FE10">
      <w:start w:val="1"/>
      <w:numFmt w:val="lowerLetter"/>
      <w:lvlText w:val="%1)"/>
      <w:lvlJc w:val="left"/>
      <w:pPr>
        <w:ind w:left="1080" w:hanging="360"/>
      </w:pPr>
      <w:rPr>
        <w:rFonts w:hint="default"/>
        <w:shd w:val="clear" w:color="auto" w:fill="auto"/>
      </w:rPr>
    </w:lvl>
    <w:lvl w:ilvl="1" w:tplc="3A926D0A">
      <w:start w:val="1"/>
      <w:numFmt w:val="lowerLetter"/>
      <w:lvlText w:val="%2."/>
      <w:lvlJc w:val="left"/>
      <w:pPr>
        <w:ind w:left="1800" w:hanging="360"/>
      </w:pPr>
      <w:rPr>
        <w:shd w:val="clear" w:color="auto" w:fill="auto"/>
      </w:rPr>
    </w:lvl>
    <w:lvl w:ilvl="2" w:tplc="ADECC0EE">
      <w:start w:val="1"/>
      <w:numFmt w:val="lowerRoman"/>
      <w:lvlText w:val="%3."/>
      <w:lvlJc w:val="right"/>
      <w:pPr>
        <w:ind w:left="2520" w:hanging="180"/>
      </w:pPr>
      <w:rPr>
        <w:shd w:val="clear" w:color="auto" w:fill="auto"/>
      </w:rPr>
    </w:lvl>
    <w:lvl w:ilvl="3" w:tplc="F294A66A">
      <w:start w:val="1"/>
      <w:numFmt w:val="decimal"/>
      <w:lvlText w:val="%4."/>
      <w:lvlJc w:val="left"/>
      <w:pPr>
        <w:ind w:left="3240" w:hanging="360"/>
      </w:pPr>
      <w:rPr>
        <w:shd w:val="clear" w:color="auto" w:fill="auto"/>
      </w:rPr>
    </w:lvl>
    <w:lvl w:ilvl="4" w:tplc="9FEC8828">
      <w:start w:val="1"/>
      <w:numFmt w:val="lowerLetter"/>
      <w:lvlText w:val="%5."/>
      <w:lvlJc w:val="left"/>
      <w:pPr>
        <w:ind w:left="3960" w:hanging="360"/>
      </w:pPr>
      <w:rPr>
        <w:shd w:val="clear" w:color="auto" w:fill="auto"/>
      </w:rPr>
    </w:lvl>
    <w:lvl w:ilvl="5" w:tplc="DDF6E74C">
      <w:start w:val="1"/>
      <w:numFmt w:val="lowerRoman"/>
      <w:lvlText w:val="%6."/>
      <w:lvlJc w:val="right"/>
      <w:pPr>
        <w:ind w:left="4680" w:hanging="180"/>
      </w:pPr>
      <w:rPr>
        <w:shd w:val="clear" w:color="auto" w:fill="auto"/>
      </w:rPr>
    </w:lvl>
    <w:lvl w:ilvl="6" w:tplc="086EB408">
      <w:start w:val="1"/>
      <w:numFmt w:val="decimal"/>
      <w:lvlText w:val="%7."/>
      <w:lvlJc w:val="left"/>
      <w:pPr>
        <w:ind w:left="5400" w:hanging="360"/>
      </w:pPr>
      <w:rPr>
        <w:shd w:val="clear" w:color="auto" w:fill="auto"/>
      </w:rPr>
    </w:lvl>
    <w:lvl w:ilvl="7" w:tplc="2CBEBE5C">
      <w:start w:val="1"/>
      <w:numFmt w:val="lowerLetter"/>
      <w:lvlText w:val="%8."/>
      <w:lvlJc w:val="left"/>
      <w:pPr>
        <w:ind w:left="6120" w:hanging="360"/>
      </w:pPr>
      <w:rPr>
        <w:shd w:val="clear" w:color="auto" w:fill="auto"/>
      </w:rPr>
    </w:lvl>
    <w:lvl w:ilvl="8" w:tplc="7568BBC4">
      <w:start w:val="1"/>
      <w:numFmt w:val="lowerRoman"/>
      <w:lvlText w:val="%9."/>
      <w:lvlJc w:val="right"/>
      <w:pPr>
        <w:ind w:left="6840" w:hanging="180"/>
      </w:pPr>
      <w:rPr>
        <w:shd w:val="clear" w:color="auto" w:fill="auto"/>
      </w:rPr>
    </w:lvl>
  </w:abstractNum>
  <w:abstractNum w:abstractNumId="9" w15:restartNumberingAfterBreak="0">
    <w:nsid w:val="2F000009"/>
    <w:multiLevelType w:val="hybridMultilevel"/>
    <w:tmpl w:val="1F002FC8"/>
    <w:lvl w:ilvl="0" w:tplc="619AA9B2">
      <w:start w:val="1"/>
      <w:numFmt w:val="lowerLetter"/>
      <w:lvlText w:val="%1)"/>
      <w:lvlJc w:val="left"/>
      <w:pPr>
        <w:ind w:left="720" w:hanging="360"/>
      </w:pPr>
      <w:rPr>
        <w:rFonts w:hint="default"/>
        <w:shd w:val="clear" w:color="auto" w:fill="auto"/>
      </w:rPr>
    </w:lvl>
    <w:lvl w:ilvl="1" w:tplc="88A46A62">
      <w:start w:val="1"/>
      <w:numFmt w:val="lowerLetter"/>
      <w:lvlText w:val="%2."/>
      <w:lvlJc w:val="left"/>
      <w:pPr>
        <w:ind w:left="1440" w:hanging="360"/>
      </w:pPr>
      <w:rPr>
        <w:shd w:val="clear" w:color="auto" w:fill="auto"/>
      </w:rPr>
    </w:lvl>
    <w:lvl w:ilvl="2" w:tplc="C19E6F0E">
      <w:start w:val="1"/>
      <w:numFmt w:val="lowerRoman"/>
      <w:lvlText w:val="%3."/>
      <w:lvlJc w:val="right"/>
      <w:pPr>
        <w:ind w:left="2160" w:hanging="180"/>
      </w:pPr>
      <w:rPr>
        <w:shd w:val="clear" w:color="auto" w:fill="auto"/>
      </w:rPr>
    </w:lvl>
    <w:lvl w:ilvl="3" w:tplc="E6E6A5B4">
      <w:start w:val="1"/>
      <w:numFmt w:val="decimal"/>
      <w:lvlText w:val="%4."/>
      <w:lvlJc w:val="left"/>
      <w:pPr>
        <w:ind w:left="2880" w:hanging="360"/>
      </w:pPr>
      <w:rPr>
        <w:shd w:val="clear" w:color="auto" w:fill="auto"/>
      </w:rPr>
    </w:lvl>
    <w:lvl w:ilvl="4" w:tplc="74C2A0EC">
      <w:start w:val="1"/>
      <w:numFmt w:val="lowerLetter"/>
      <w:lvlText w:val="%5."/>
      <w:lvlJc w:val="left"/>
      <w:pPr>
        <w:ind w:left="3600" w:hanging="360"/>
      </w:pPr>
      <w:rPr>
        <w:shd w:val="clear" w:color="auto" w:fill="auto"/>
      </w:rPr>
    </w:lvl>
    <w:lvl w:ilvl="5" w:tplc="1B6413D2">
      <w:start w:val="1"/>
      <w:numFmt w:val="lowerRoman"/>
      <w:lvlText w:val="%6."/>
      <w:lvlJc w:val="right"/>
      <w:pPr>
        <w:ind w:left="4320" w:hanging="180"/>
      </w:pPr>
      <w:rPr>
        <w:shd w:val="clear" w:color="auto" w:fill="auto"/>
      </w:rPr>
    </w:lvl>
    <w:lvl w:ilvl="6" w:tplc="B2A2672A">
      <w:start w:val="1"/>
      <w:numFmt w:val="decimal"/>
      <w:lvlText w:val="%7."/>
      <w:lvlJc w:val="left"/>
      <w:pPr>
        <w:ind w:left="5040" w:hanging="360"/>
      </w:pPr>
      <w:rPr>
        <w:shd w:val="clear" w:color="auto" w:fill="auto"/>
      </w:rPr>
    </w:lvl>
    <w:lvl w:ilvl="7" w:tplc="2744DB3A">
      <w:start w:val="1"/>
      <w:numFmt w:val="lowerLetter"/>
      <w:lvlText w:val="%8."/>
      <w:lvlJc w:val="left"/>
      <w:pPr>
        <w:ind w:left="5760" w:hanging="360"/>
      </w:pPr>
      <w:rPr>
        <w:shd w:val="clear" w:color="auto" w:fill="auto"/>
      </w:rPr>
    </w:lvl>
    <w:lvl w:ilvl="8" w:tplc="F91401C0">
      <w:start w:val="1"/>
      <w:numFmt w:val="lowerRoman"/>
      <w:lvlText w:val="%9."/>
      <w:lvlJc w:val="right"/>
      <w:pPr>
        <w:ind w:left="6480" w:hanging="180"/>
      </w:pPr>
      <w:rPr>
        <w:shd w:val="clear" w:color="auto" w:fill="auto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3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Footer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0EB1"/>
    <w:rsid w:val="00664C77"/>
    <w:rsid w:val="006B1D58"/>
    <w:rsid w:val="00876C85"/>
    <w:rsid w:val="00E70EB1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6478E2"/>
  <w15:docId w15:val="{6A461403-1C94-442E-97A1-6EAF432F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60" w:lineRule="atLeast"/>
    </w:pPr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pPr>
      <w:spacing w:line="240" w:lineRule="auto"/>
      <w:jc w:val="center"/>
      <w:outlineLvl w:val="0"/>
    </w:pPr>
    <w:rPr>
      <w:b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qFormat/>
    <w:pPr>
      <w:spacing w:line="240" w:lineRule="auto"/>
      <w:jc w:val="center"/>
      <w:outlineLvl w:val="1"/>
    </w:pPr>
    <w:rPr>
      <w:b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pPr>
      <w:spacing w:line="240" w:lineRule="auto"/>
      <w:outlineLvl w:val="2"/>
    </w:pPr>
    <w:rPr>
      <w:b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pPr>
      <w:spacing w:line="360" w:lineRule="auto"/>
      <w:jc w:val="both"/>
      <w:outlineLvl w:val="3"/>
    </w:pPr>
    <w:rPr>
      <w:rFonts w:ascii="Verdana" w:hAnsi="Verdana"/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pPr>
      <w:spacing w:line="240" w:lineRule="auto"/>
      <w:jc w:val="both"/>
      <w:outlineLvl w:val="4"/>
    </w:pPr>
    <w:rPr>
      <w:b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qFormat/>
    <w:pPr>
      <w:numPr>
        <w:numId w:val="1"/>
      </w:numPr>
      <w:spacing w:line="360" w:lineRule="auto"/>
      <w:jc w:val="both"/>
      <w:outlineLvl w:val="5"/>
    </w:pPr>
    <w:rPr>
      <w:rFonts w:ascii="Verdana" w:hAnsi="Verdana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 w:line="240" w:lineRule="auto"/>
      <w:outlineLvl w:val="6"/>
    </w:pPr>
    <w:rPr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nhideWhenUsed/>
    <w:qFormat/>
    <w:pPr>
      <w:spacing w:before="240" w:after="60"/>
      <w:outlineLvl w:val="7"/>
    </w:pPr>
    <w:rPr>
      <w:rFonts w:ascii="Calibri" w:hAnsi="Calibri"/>
      <w:i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sz w:val="52"/>
      <w:szCs w:val="52"/>
      <w:lang w:val="en-IN"/>
    </w:rPr>
  </w:style>
  <w:style w:type="paragraph" w:styleId="Subtitle">
    <w:name w:val="Subtitle"/>
    <w:basedOn w:val="Normal"/>
    <w:link w:val="SubtitleChar"/>
    <w:qFormat/>
    <w:pPr>
      <w:spacing w:line="240" w:lineRule="auto"/>
      <w:jc w:val="center"/>
    </w:pPr>
    <w:rPr>
      <w:rFonts w:ascii="Verdana" w:hAnsi="Verdana"/>
      <w:b/>
      <w:spacing w:val="20"/>
      <w:lang w:val="en-US"/>
    </w:rPr>
  </w:style>
  <w:style w:type="character" w:styleId="Emphasis">
    <w:name w:val="Emphasis"/>
    <w:basedOn w:val="DefaultParagraphFont"/>
    <w:uiPriority w:val="20"/>
    <w:qFormat/>
    <w:rPr>
      <w:i/>
      <w:shd w:val="clear" w:color="auto" w:fill="auto"/>
    </w:rPr>
  </w:style>
  <w:style w:type="character" w:styleId="Strong">
    <w:name w:val="Strong"/>
    <w:basedOn w:val="DefaultParagraphFont"/>
    <w:uiPriority w:val="22"/>
    <w:qFormat/>
    <w:rPr>
      <w:b/>
      <w:shd w:val="clear" w:color="auto" w:fill="auto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TOC1">
    <w:name w:val="toc 1"/>
    <w:basedOn w:val="Normal"/>
    <w:next w:val="Normal"/>
    <w:semiHidden/>
    <w:pPr>
      <w:spacing w:before="120" w:after="240"/>
    </w:pPr>
    <w:rPr>
      <w:sz w:val="20"/>
      <w:szCs w:val="20"/>
    </w:rPr>
  </w:style>
  <w:style w:type="paragraph" w:styleId="TOC2">
    <w:name w:val="toc 2"/>
    <w:basedOn w:val="Normal"/>
    <w:next w:val="Normal"/>
    <w:semiHidden/>
    <w:pPr>
      <w:tabs>
        <w:tab w:val="right" w:leader="dot" w:pos="8630"/>
      </w:tabs>
    </w:pPr>
  </w:style>
  <w:style w:type="paragraph" w:styleId="TOC3">
    <w:name w:val="toc 3"/>
    <w:basedOn w:val="Normal"/>
    <w:next w:val="Normal"/>
    <w:semiHidden/>
    <w:pPr>
      <w:ind w:left="440"/>
    </w:pPr>
  </w:style>
  <w:style w:type="table" w:styleId="TableGrid">
    <w:name w:val="Table Grid"/>
    <w:basedOn w:val="TableNormal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tblPr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</w:style>
  <w:style w:type="table" w:customStyle="1" w:styleId="PlainTable11">
    <w:name w:val="Plain Table 11"/>
    <w:basedOn w:val="TableNormal"/>
    <w:tblPr>
      <w:tblStyleRowBandSize w:val="1"/>
      <w:tblStyleColBandSize w:val="1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EBEBE" w:themeColor="background1" w:themeShade="BE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customStyle="1" w:styleId="PlainTable21">
    <w:name w:val="Plain Table 21"/>
    <w:basedOn w:val="TableNormal"/>
    <w:tblPr>
      <w:tblStyleRowBandSize w:val="1"/>
      <w:tblStyleColBandSize w:val="1"/>
      <w:tblBorders>
        <w:top w:val="single" w:sz="4" w:space="0" w:color="808080" w:themeColor="text1" w:themeTint="7F"/>
        <w:bottom w:val="single" w:sz="4" w:space="0" w:color="808080" w:themeColor="text1" w:themeTint="7F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customStyle="1" w:styleId="PlainTable31">
    <w:name w:val="Plain Table 31"/>
    <w:basedOn w:val="TableNormal"/>
    <w:tblPr>
      <w:tblStyleRowBandSize w:val="1"/>
      <w:tblStyleColBandSize w:val="1"/>
    </w:tblPr>
    <w:tblStylePr w:type="firstRow">
      <w:rPr>
        <w:b/>
        <w:caps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caps/>
        <w:shd w:val="clear" w:color="auto" w:fill="auto"/>
      </w:rPr>
      <w:tblPr/>
      <w:tcPr>
        <w:tcBorders>
          <w:top w:val="nil"/>
        </w:tcBorders>
      </w:tcPr>
    </w:tblStylePr>
    <w:tblStylePr w:type="firstCol">
      <w:rPr>
        <w:b/>
        <w:caps/>
        <w:shd w:val="clear" w:color="auto" w:fill="auto"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caps/>
        <w:shd w:val="clear" w:color="auto" w:fill="auto"/>
      </w:rPr>
      <w:tblPr/>
      <w:tcPr>
        <w:tcBorders>
          <w:left w:val="nil"/>
        </w:tcBorders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tblPr>
      <w:tblStyleRowBandSize w:val="1"/>
      <w:tblStyleColBandSize w:val="1"/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customStyle="1" w:styleId="PlainTable51">
    <w:name w:val="Plain Table 51"/>
    <w:basedOn w:val="TableNormal"/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808080" w:themeColor="text1" w:themeTint="7F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808080" w:themeColor="text1" w:themeTint="7F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808080" w:themeColor="text1" w:themeTint="7F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808080" w:themeColor="text1" w:themeTint="7F"/>
        </w:tcBorders>
        <w:shd w:val="clear" w:color="000000" w:fill="FFFFFF" w:themeFill="background1"/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1">
    <w:name w:val="Grid Table 1 Light1"/>
    <w:basedOn w:val="TableNormal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customStyle="1" w:styleId="GridTable1Light-Accent11">
    <w:name w:val="Grid Table 1 Light - Accent 11"/>
    <w:basedOn w:val="TableNormal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customStyle="1" w:styleId="GridTable1Light-Accent21">
    <w:name w:val="Grid Table 1 Light - Accent 21"/>
    <w:basedOn w:val="TableNormal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customStyle="1" w:styleId="GridTable1Light-Accent31">
    <w:name w:val="Grid Table 1 Light - Accent 31"/>
    <w:basedOn w:val="TableNormal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customStyle="1" w:styleId="GridTable1Light-Accent41">
    <w:name w:val="Grid Table 1 Light - Accent 41"/>
    <w:basedOn w:val="TableNormal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customStyle="1" w:styleId="GridTable1Light-Accent51">
    <w:name w:val="Grid Table 1 Light - Accent 51"/>
    <w:basedOn w:val="TableNormal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customStyle="1" w:styleId="GridTable1Light-Accent61">
    <w:name w:val="Grid Table 1 Light - Accent 61"/>
    <w:basedOn w:val="TableNormal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customStyle="1" w:styleId="GridTable21">
    <w:name w:val="Grid Table 21"/>
    <w:basedOn w:val="TableNormal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GridTable2-Accent11">
    <w:name w:val="Grid Table 2 - Accent 11"/>
    <w:basedOn w:val="TableNormal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customStyle="1" w:styleId="GridTable2-Accent21">
    <w:name w:val="Grid Table 2 - Accent 21"/>
    <w:basedOn w:val="TableNormal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customStyle="1" w:styleId="GridTable2-Accent31">
    <w:name w:val="Grid Table 2 - Accent 31"/>
    <w:basedOn w:val="TableNormal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customStyle="1" w:styleId="GridTable2-Accent41">
    <w:name w:val="Grid Table 2 - Accent 41"/>
    <w:basedOn w:val="TableNormal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customStyle="1" w:styleId="GridTable2-Accent51">
    <w:name w:val="Grid Table 2 - Accent 51"/>
    <w:basedOn w:val="TableNormal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customStyle="1" w:styleId="GridTable2-Accent61">
    <w:name w:val="Grid Table 2 - Accent 61"/>
    <w:basedOn w:val="TableNormal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customStyle="1" w:styleId="GridTable31">
    <w:name w:val="Grid Table 31"/>
    <w:basedOn w:val="TableNormal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41">
    <w:name w:val="Grid Table 41"/>
    <w:basedOn w:val="TableNormal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GridTable4-Accent11">
    <w:name w:val="Grid Table 4 - Accent 11"/>
    <w:basedOn w:val="TableNormal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000000" w:fill="4F81BD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customStyle="1" w:styleId="GridTable4-Accent21">
    <w:name w:val="Grid Table 4 - Accent 21"/>
    <w:basedOn w:val="TableNormal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000000" w:fill="C0504D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customStyle="1" w:styleId="GridTable4-Accent31">
    <w:name w:val="Grid Table 4 - Accent 31"/>
    <w:basedOn w:val="TableNormal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000000" w:fill="9BBB59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customStyle="1" w:styleId="GridTable4-Accent41">
    <w:name w:val="Grid Table 4 - Accent 41"/>
    <w:basedOn w:val="TableNormal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000000" w:fill="8064A2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customStyle="1" w:styleId="GridTable4-Accent51">
    <w:name w:val="Grid Table 4 - Accent 51"/>
    <w:basedOn w:val="TableNormal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000000" w:fill="4BACC6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customStyle="1" w:styleId="GridTable4-Accent61">
    <w:name w:val="Grid Table 4 - Accent 61"/>
    <w:basedOn w:val="TableNormal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000000" w:fill="F79646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customStyle="1" w:styleId="GridTable5Dark1">
    <w:name w:val="Grid Table 5 Dark1"/>
    <w:basedOn w:val="TableNormal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CCCCCC" w:themeFill="text1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band1Vert">
      <w:tblPr/>
      <w:tcPr>
        <w:shd w:val="clear" w:color="000000" w:fill="999999" w:themeFill="text1" w:themeFillTint="66"/>
      </w:tcPr>
    </w:tblStylePr>
    <w:tblStylePr w:type="band1Horz">
      <w:tblPr/>
      <w:tcPr>
        <w:shd w:val="clear" w:color="000000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BE5F1" w:themeFill="accent1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F81BD" w:themeFill="accent1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F81BD" w:themeFill="accent1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4F81BD" w:themeFill="accent1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4F81BD" w:themeFill="accent1"/>
      </w:tcPr>
    </w:tblStylePr>
    <w:tblStylePr w:type="band1Vert">
      <w:tblPr/>
      <w:tcPr>
        <w:shd w:val="clear" w:color="000000" w:fill="B8CCE4" w:themeFill="accent1" w:themeFillTint="66"/>
      </w:tcPr>
    </w:tblStylePr>
    <w:tblStylePr w:type="band1Horz">
      <w:tblPr/>
      <w:tcPr>
        <w:shd w:val="clear" w:color="000000" w:fill="B8CCE4" w:themeFill="accent1" w:themeFillTint="66"/>
      </w:tcPr>
    </w:tblStylePr>
  </w:style>
  <w:style w:type="table" w:customStyle="1" w:styleId="GridTable5Dark-Accent21">
    <w:name w:val="Grid Table 5 Dark - Accent 21"/>
    <w:basedOn w:val="TableNormal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2DBDB" w:themeFill="accent2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C0504D" w:themeFill="accent2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C0504D" w:themeFill="accent2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C0504D" w:themeFill="accent2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C0504D" w:themeFill="accent2"/>
      </w:tcPr>
    </w:tblStylePr>
    <w:tblStylePr w:type="band1Vert">
      <w:tblPr/>
      <w:tcPr>
        <w:shd w:val="clear" w:color="000000" w:fill="E5B8B7" w:themeFill="accent2" w:themeFillTint="66"/>
      </w:tcPr>
    </w:tblStylePr>
    <w:tblStylePr w:type="band1Horz">
      <w:tblPr/>
      <w:tcPr>
        <w:shd w:val="clear" w:color="000000" w:fill="E5B8B7" w:themeFill="accent2" w:themeFillTint="66"/>
      </w:tcPr>
    </w:tblStylePr>
  </w:style>
  <w:style w:type="table" w:customStyle="1" w:styleId="GridTable5Dark-Accent31">
    <w:name w:val="Grid Table 5 Dark - Accent 31"/>
    <w:basedOn w:val="TableNormal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AF1DD" w:themeFill="accent3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9BBB59" w:themeFill="accent3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9BBB59" w:themeFill="accent3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9BBB59" w:themeFill="accent3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9BBB59" w:themeFill="accent3"/>
      </w:tcPr>
    </w:tblStylePr>
    <w:tblStylePr w:type="band1Vert">
      <w:tblPr/>
      <w:tcPr>
        <w:shd w:val="clear" w:color="000000" w:fill="D6E3BC" w:themeFill="accent3" w:themeFillTint="66"/>
      </w:tcPr>
    </w:tblStylePr>
    <w:tblStylePr w:type="band1Horz">
      <w:tblPr/>
      <w:tcPr>
        <w:shd w:val="clear" w:color="000000" w:fill="D6E3BC" w:themeFill="accent3" w:themeFillTint="66"/>
      </w:tcPr>
    </w:tblStylePr>
  </w:style>
  <w:style w:type="table" w:customStyle="1" w:styleId="GridTable5Dark-Accent41">
    <w:name w:val="Grid Table 5 Dark - Accent 41"/>
    <w:basedOn w:val="TableNormal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5DFEC" w:themeFill="accent4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8064A2" w:themeFill="accent4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8064A2" w:themeFill="accent4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8064A2" w:themeFill="accent4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8064A2" w:themeFill="accent4"/>
      </w:tcPr>
    </w:tblStylePr>
    <w:tblStylePr w:type="band1Vert">
      <w:tblPr/>
      <w:tcPr>
        <w:shd w:val="clear" w:color="000000" w:fill="CCC0D9" w:themeFill="accent4" w:themeFillTint="66"/>
      </w:tcPr>
    </w:tblStylePr>
    <w:tblStylePr w:type="band1Horz">
      <w:tblPr/>
      <w:tcPr>
        <w:shd w:val="clear" w:color="000000" w:fill="CCC0D9" w:themeFill="accent4" w:themeFillTint="66"/>
      </w:tcPr>
    </w:tblStylePr>
  </w:style>
  <w:style w:type="table" w:customStyle="1" w:styleId="GridTable5Dark-Accent51">
    <w:name w:val="Grid Table 5 Dark - Accent 51"/>
    <w:basedOn w:val="TableNormal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AEEF3" w:themeFill="accent5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BACC6" w:themeFill="accent5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BACC6" w:themeFill="accent5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4BACC6" w:themeFill="accent5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4BACC6" w:themeFill="accent5"/>
      </w:tcPr>
    </w:tblStylePr>
    <w:tblStylePr w:type="band1Vert">
      <w:tblPr/>
      <w:tcPr>
        <w:shd w:val="clear" w:color="000000" w:fill="B6DDE8" w:themeFill="accent5" w:themeFillTint="66"/>
      </w:tcPr>
    </w:tblStylePr>
    <w:tblStylePr w:type="band1Horz">
      <w:tblPr/>
      <w:tcPr>
        <w:shd w:val="clear" w:color="000000" w:fill="B6DDE8" w:themeFill="accent5" w:themeFillTint="66"/>
      </w:tcPr>
    </w:tblStylePr>
  </w:style>
  <w:style w:type="table" w:customStyle="1" w:styleId="GridTable5Dark-Accent61">
    <w:name w:val="Grid Table 5 Dark - Accent 61"/>
    <w:basedOn w:val="TableNormal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DE9D9" w:themeFill="accent6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79646" w:themeFill="accent6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79646" w:themeFill="accent6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F79646" w:themeFill="accent6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F79646" w:themeFill="accent6"/>
      </w:tcPr>
    </w:tblStylePr>
    <w:tblStylePr w:type="band1Vert">
      <w:tblPr/>
      <w:tcPr>
        <w:shd w:val="clear" w:color="000000" w:fill="FBD4B4" w:themeFill="accent6" w:themeFillTint="66"/>
      </w:tcPr>
    </w:tblStylePr>
    <w:tblStylePr w:type="band1Horz">
      <w:tblPr/>
      <w:tcPr>
        <w:shd w:val="clear" w:color="000000" w:fill="FBD4B4" w:themeFill="accent6" w:themeFillTint="66"/>
      </w:tcPr>
    </w:tblStylePr>
  </w:style>
  <w:style w:type="table" w:customStyle="1" w:styleId="GridTable6Colorful1">
    <w:name w:val="Grid Table 6 Colorful1"/>
    <w:basedOn w:val="TableNormal"/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rPr>
      <w:color w:val="365F91" w:themeColor="accent1" w:themeShade="B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rPr>
      <w:color w:val="933634" w:themeColor="accent2" w:themeShade="BE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rPr>
      <w:color w:val="75913B" w:themeColor="accent3" w:themeShade="BE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rPr>
      <w:color w:val="5F4979" w:themeColor="accent4" w:themeShade="BE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rPr>
      <w:color w:val="31849A" w:themeColor="accent5" w:themeShade="BE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rPr>
      <w:color w:val="E26B09" w:themeColor="accent6" w:themeShade="BE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customStyle="1" w:styleId="GridTable7Colorful1">
    <w:name w:val="Grid Table 7 Colorful1"/>
    <w:basedOn w:val="TableNormal"/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rPr>
      <w:color w:val="365F91" w:themeColor="accent1" w:themeShade="B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rPr>
      <w:color w:val="933634" w:themeColor="accent2" w:themeShade="BE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rPr>
      <w:color w:val="75913B" w:themeColor="accent3" w:themeShade="BE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rPr>
      <w:color w:val="5F4979" w:themeColor="accent4" w:themeShade="BE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rPr>
      <w:color w:val="31849A" w:themeColor="accent5" w:themeShade="BE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rPr>
      <w:color w:val="E26B09" w:themeColor="accent6" w:themeShade="BE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ListTable1Light1">
    <w:name w:val="List Table 1 Light1"/>
    <w:basedOn w:val="TableNormal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customStyle="1" w:styleId="ListTable1Light-Accent21">
    <w:name w:val="List Table 1 Light - Accent 21"/>
    <w:basedOn w:val="TableNormal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customStyle="1" w:styleId="ListTable1Light-Accent31">
    <w:name w:val="List Table 1 Light - Accent 31"/>
    <w:basedOn w:val="TableNormal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customStyle="1" w:styleId="ListTable1Light-Accent41">
    <w:name w:val="List Table 1 Light - Accent 41"/>
    <w:basedOn w:val="TableNormal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customStyle="1" w:styleId="ListTable1Light-Accent51">
    <w:name w:val="List Table 1 Light - Accent 51"/>
    <w:basedOn w:val="TableNormal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customStyle="1" w:styleId="ListTable1Light-Accent61">
    <w:name w:val="List Table 1 Light - Accent 61"/>
    <w:basedOn w:val="TableNormal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customStyle="1" w:styleId="ListTable21">
    <w:name w:val="List Table 21"/>
    <w:basedOn w:val="TableNormal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ListTable2-Accent11">
    <w:name w:val="List Table 2 - Accent 11"/>
    <w:basedOn w:val="TableNormal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customStyle="1" w:styleId="ListTable2-Accent21">
    <w:name w:val="List Table 2 - Accent 21"/>
    <w:basedOn w:val="TableNormal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customStyle="1" w:styleId="ListTable2-Accent31">
    <w:name w:val="List Table 2 - Accent 31"/>
    <w:basedOn w:val="TableNormal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customStyle="1" w:styleId="ListTable2-Accent41">
    <w:name w:val="List Table 2 - Accent 41"/>
    <w:basedOn w:val="TableNormal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customStyle="1" w:styleId="ListTable2-Accent51">
    <w:name w:val="List Table 2 - Accent 51"/>
    <w:basedOn w:val="TableNormal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customStyle="1" w:styleId="ListTable2-Accent61">
    <w:name w:val="List Table 2 - Accent 61"/>
    <w:basedOn w:val="TableNormal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customStyle="1" w:styleId="ListTable31">
    <w:name w:val="List Table 31"/>
    <w:basedOn w:val="TableNormal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4F81BD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F81BD" w:themeColor="accent1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C0504D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0504D" w:themeColor="accent2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9BBB59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BBB59" w:themeColor="accent3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8064A2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064A2" w:themeColor="accent4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4BACC6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BACC6" w:themeColor="accent5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000000" w:fill="F79646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79646" w:themeColor="accent6"/>
        </w:tcBorders>
        <w:shd w:val="clear" w:color="000000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000000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ListTable4-Accent11">
    <w:name w:val="List Table 4 - Accent 11"/>
    <w:basedOn w:val="TableNormal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000000" w:fill="4F81BD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customStyle="1" w:styleId="ListTable4-Accent21">
    <w:name w:val="List Table 4 - Accent 21"/>
    <w:basedOn w:val="TableNormal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000000" w:fill="C0504D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customStyle="1" w:styleId="ListTable4-Accent31">
    <w:name w:val="List Table 4 - Accent 31"/>
    <w:basedOn w:val="TableNormal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000000" w:fill="9BBB59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customStyle="1" w:styleId="ListTable4-Accent41">
    <w:name w:val="List Table 4 - Accent 41"/>
    <w:basedOn w:val="TableNormal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000000" w:fill="8064A2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customStyle="1" w:styleId="ListTable4-Accent51">
    <w:name w:val="List Table 4 - Accent 51"/>
    <w:basedOn w:val="TableNormal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000000" w:fill="4BACC6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customStyle="1" w:styleId="ListTable4-Accent61">
    <w:name w:val="List Table 4 - Accent 61"/>
    <w:basedOn w:val="TableNormal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000000" w:fill="F79646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customStyle="1" w:styleId="ListTable5">
    <w:name w:val="List Table 5"/>
    <w:basedOn w:val="TableNormal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000000" w:fill="000000" w:themeFill="text1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TableNormal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000000" w:fill="4F81BD" w:themeFill="accent1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TableNormal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000000" w:fill="C0504D" w:themeFill="accent2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TableNormal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000000" w:fill="9BBB59" w:themeFill="accent3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TableNormal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000000" w:fill="8064A2" w:themeFill="accent4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TableNormal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000000" w:fill="4BACC6" w:themeFill="accent5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TableNormal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000000" w:fill="F79646" w:themeFill="accent6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rPr>
      <w:color w:val="000000" w:themeColor="text1" w:themeShade="B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rPr>
      <w:color w:val="365F91" w:themeColor="accent1" w:themeShade="BE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rPr>
      <w:color w:val="933634" w:themeColor="accent2" w:themeShade="BE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rPr>
      <w:color w:val="75913B" w:themeColor="accent3" w:themeShade="BE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rPr>
      <w:color w:val="5F4979" w:themeColor="accent4" w:themeShade="BE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rPr>
      <w:color w:val="31849A" w:themeColor="accent5" w:themeShade="BE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rPr>
      <w:color w:val="E26B09" w:themeColor="accent6" w:themeShade="BE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customStyle="1" w:styleId="ListTable7Colorful1">
    <w:name w:val="List Table 7 Colorful1"/>
    <w:basedOn w:val="TableNormal"/>
    <w:rPr>
      <w:color w:val="000000" w:themeColor="text1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000000" w:themeColor="tex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000000" w:themeColor="tex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000000" w:themeColor="tex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000000" w:themeColor="text1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rPr>
      <w:color w:val="365F91" w:themeColor="accent1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4F81BD" w:themeColor="accen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4F81BD" w:themeColor="accen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4F81BD" w:themeColor="accen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4F81BD" w:themeColor="accent1"/>
        </w:tcBorders>
        <w:shd w:val="clear" w:color="000000" w:fill="FFFFFF" w:themeFill="background1"/>
      </w:tc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rPr>
      <w:color w:val="933634" w:themeColor="accent2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C0504D" w:themeColor="accent2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C0504D" w:themeColor="accent2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C0504D" w:themeColor="accent2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C0504D" w:themeColor="accent2"/>
        </w:tcBorders>
        <w:shd w:val="clear" w:color="000000" w:fill="FFFFFF" w:themeFill="background1"/>
      </w:tc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rPr>
      <w:color w:val="75913B" w:themeColor="accent3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9BBB59" w:themeColor="accent3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9BBB59" w:themeColor="accent3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9BBB59" w:themeColor="accent3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9BBB59" w:themeColor="accent3"/>
        </w:tcBorders>
        <w:shd w:val="clear" w:color="000000" w:fill="FFFFFF" w:themeFill="background1"/>
      </w:tc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rPr>
      <w:color w:val="5F4979" w:themeColor="accent4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8064A2" w:themeColor="accent4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8064A2" w:themeColor="accent4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8064A2" w:themeColor="accent4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8064A2" w:themeColor="accent4"/>
        </w:tcBorders>
        <w:shd w:val="clear" w:color="000000" w:fill="FFFFFF" w:themeFill="background1"/>
      </w:tc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rPr>
      <w:color w:val="31849A" w:themeColor="accent5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4BACC6" w:themeColor="accent5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4BACC6" w:themeColor="accent5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4BACC6" w:themeColor="accent5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4BACC6" w:themeColor="accent5"/>
        </w:tcBorders>
        <w:shd w:val="clear" w:color="000000" w:fill="FFFFFF" w:themeFill="background1"/>
      </w:tc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rPr>
      <w:color w:val="E26B09" w:themeColor="accent6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F79646" w:themeColor="accent6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F79646" w:themeColor="accent6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F79646" w:themeColor="accent6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F79646" w:themeColor="accent6"/>
        </w:tcBorders>
        <w:shd w:val="clear" w:color="000000" w:fill="FFFFFF" w:themeFill="background1"/>
      </w:tc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Calendar1">
    <w:name w:val="Calendar1"/>
    <w:basedOn w:val="TableNormal"/>
    <w:rPr>
      <w:sz w:val="22"/>
      <w:szCs w:val="22"/>
    </w:rPr>
    <w:tblPr>
      <w:tblStyleRowBandSize w:val="1"/>
      <w:tblStyleColBandSize w:val="1"/>
    </w:tblPr>
    <w:tblStylePr w:type="firstRow">
      <w:pPr>
        <w:spacing w:line="259" w:lineRule="auto"/>
      </w:pPr>
      <w:rPr>
        <w:b/>
        <w:i w:val="0"/>
        <w:color w:val="auto"/>
        <w:sz w:val="44"/>
        <w:szCs w:val="44"/>
        <w:shd w:val="clear" w:color="auto" w:fill="auto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nil"/>
      </w:tcPr>
    </w:tblStylePr>
  </w:style>
  <w:style w:type="paragraph" w:customStyle="1" w:styleId="Char">
    <w:name w:val="Char"/>
    <w:basedOn w:val="Normal"/>
    <w:pPr>
      <w:spacing w:after="160" w:line="240" w:lineRule="auto"/>
      <w:jc w:val="center"/>
    </w:pPr>
    <w:rPr>
      <w:rFonts w:ascii="Bookman Old Style" w:hAnsi="Bookman Old Style"/>
      <w:b/>
      <w:i/>
      <w:sz w:val="32"/>
      <w:szCs w:val="32"/>
      <w:lang w:val="en-US"/>
    </w:rPr>
  </w:style>
  <w:style w:type="character" w:styleId="Hyperlink">
    <w:name w:val="Hyperlink"/>
    <w:basedOn w:val="DefaultParagraphFont"/>
    <w:rPr>
      <w:color w:val="0000FF"/>
      <w:u w:val="single"/>
      <w:shd w:val="clear" w:color="auto" w:fill="auto"/>
    </w:rPr>
  </w:style>
  <w:style w:type="paragraph" w:styleId="BodyText2">
    <w:name w:val="Body Text 2"/>
    <w:basedOn w:val="Normal"/>
    <w:link w:val="BodyText2Char"/>
    <w:uiPriority w:val="99"/>
    <w:unhideWhenUsed/>
    <w:pPr>
      <w:tabs>
        <w:tab w:val="left" w:pos="8640"/>
      </w:tabs>
      <w:spacing w:line="240" w:lineRule="auto"/>
      <w:jc w:val="both"/>
    </w:pPr>
    <w:rPr>
      <w:sz w:val="24"/>
      <w:szCs w:val="24"/>
      <w:lang w:val="en-IN" w:eastAsia="en-IN"/>
    </w:rPr>
  </w:style>
  <w:style w:type="character" w:customStyle="1" w:styleId="BodyText2Char">
    <w:name w:val="Body Text 2 Char"/>
    <w:basedOn w:val="DefaultParagraphFont"/>
    <w:link w:val="BodyText2"/>
    <w:uiPriority w:val="99"/>
    <w:rPr>
      <w:sz w:val="24"/>
      <w:szCs w:val="24"/>
      <w:shd w:val="clear" w:color="auto" w:fill="auto"/>
    </w:rPr>
  </w:style>
  <w:style w:type="paragraph" w:styleId="BodyText">
    <w:name w:val="Body Text"/>
    <w:basedOn w:val="Normal"/>
    <w:link w:val="BodyTextChar"/>
    <w:pPr>
      <w:spacing w:after="120"/>
    </w:pPr>
  </w:style>
  <w:style w:type="character" w:customStyle="1" w:styleId="BodyTextChar">
    <w:name w:val="Body Text Char"/>
    <w:basedOn w:val="DefaultParagraphFont"/>
    <w:link w:val="BodyText"/>
    <w:rPr>
      <w:sz w:val="22"/>
      <w:szCs w:val="22"/>
      <w:shd w:val="clear" w:color="auto" w:fill="auto"/>
      <w:lang w:val="en-GB" w:eastAsia="en-US"/>
    </w:rPr>
  </w:style>
  <w:style w:type="character" w:customStyle="1" w:styleId="Heading1Char">
    <w:name w:val="Heading 1 Char"/>
    <w:basedOn w:val="DefaultParagraphFont"/>
    <w:link w:val="Heading1"/>
    <w:rPr>
      <w:b/>
      <w:sz w:val="28"/>
      <w:szCs w:val="28"/>
      <w:shd w:val="clear" w:color="auto" w:fill="auto"/>
      <w:lang w:val="en-US" w:eastAsia="en-US"/>
    </w:rPr>
  </w:style>
  <w:style w:type="character" w:customStyle="1" w:styleId="Heading2Char">
    <w:name w:val="Heading 2 Char"/>
    <w:basedOn w:val="DefaultParagraphFont"/>
    <w:link w:val="Heading2"/>
    <w:rPr>
      <w:b/>
      <w:sz w:val="24"/>
      <w:szCs w:val="24"/>
      <w:shd w:val="clear" w:color="auto" w:fill="auto"/>
      <w:lang w:val="en-US" w:eastAsia="en-US"/>
    </w:rPr>
  </w:style>
  <w:style w:type="character" w:customStyle="1" w:styleId="Heading3Char">
    <w:name w:val="Heading 3 Char"/>
    <w:basedOn w:val="DefaultParagraphFont"/>
    <w:link w:val="Heading3"/>
    <w:rPr>
      <w:b/>
      <w:sz w:val="24"/>
      <w:szCs w:val="24"/>
      <w:shd w:val="clear" w:color="auto" w:fill="auto"/>
      <w:lang w:val="en-US" w:eastAsia="en-US"/>
    </w:rPr>
  </w:style>
  <w:style w:type="character" w:customStyle="1" w:styleId="Heading5Char">
    <w:name w:val="Heading 5 Char"/>
    <w:basedOn w:val="DefaultParagraphFont"/>
    <w:link w:val="Heading5"/>
    <w:rPr>
      <w:b/>
      <w:sz w:val="24"/>
      <w:szCs w:val="24"/>
      <w:shd w:val="clear" w:color="auto" w:fill="auto"/>
      <w:lang w:val="en-US" w:eastAsia="en-US"/>
    </w:r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Pr>
      <w:sz w:val="22"/>
      <w:szCs w:val="22"/>
      <w:shd w:val="clear" w:color="auto" w:fill="auto"/>
      <w:lang w:val="en-GB" w:eastAsia="en-US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Pr>
      <w:sz w:val="22"/>
      <w:szCs w:val="22"/>
      <w:shd w:val="clear" w:color="auto" w:fill="auto"/>
      <w:lang w:val="en-GB" w:eastAsia="en-US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sz w:val="24"/>
      <w:szCs w:val="24"/>
      <w:lang w:val="en-IN" w:eastAsia="en-IN"/>
    </w:rPr>
  </w:style>
  <w:style w:type="character" w:customStyle="1" w:styleId="yshortcuts">
    <w:name w:val="yshortcuts"/>
    <w:basedOn w:val="DefaultParagraphFont"/>
  </w:style>
  <w:style w:type="character" w:customStyle="1" w:styleId="TitleChar">
    <w:name w:val="Title Char"/>
    <w:basedOn w:val="DefaultParagraphFont"/>
    <w:link w:val="Title"/>
    <w:uiPriority w:val="10"/>
    <w:rPr>
      <w:rFonts w:ascii="Cambria" w:hAnsi="Cambria"/>
      <w:color w:val="17365D"/>
      <w:spacing w:val="5"/>
      <w:sz w:val="52"/>
      <w:szCs w:val="52"/>
      <w:shd w:val="clear" w:color="auto" w:fill="auto"/>
      <w:lang w:eastAsia="en-US"/>
    </w:rPr>
  </w:style>
  <w:style w:type="character" w:customStyle="1" w:styleId="Heading7Char">
    <w:name w:val="Heading 7 Char"/>
    <w:basedOn w:val="DefaultParagraphFont"/>
    <w:link w:val="Heading7"/>
    <w:rPr>
      <w:sz w:val="24"/>
      <w:szCs w:val="24"/>
      <w:shd w:val="clear" w:color="auto" w:fill="auto"/>
      <w:lang w:val="en-US" w:eastAsia="en-US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  <w:shd w:val="clear" w:color="auto" w:fill="auto"/>
      <w:lang w:val="en-GB" w:eastAsia="en-US"/>
    </w:rPr>
  </w:style>
  <w:style w:type="character" w:customStyle="1" w:styleId="Heading8Char">
    <w:name w:val="Heading 8 Char"/>
    <w:basedOn w:val="DefaultParagraphFont"/>
    <w:link w:val="Heading8"/>
    <w:semiHidden/>
    <w:rPr>
      <w:rFonts w:ascii="Calibri" w:eastAsia="Times New Roman" w:hAnsi="Calibri" w:cs="Times New Roman"/>
      <w:i/>
      <w:sz w:val="24"/>
      <w:szCs w:val="24"/>
      <w:shd w:val="clear" w:color="auto" w:fill="auto"/>
      <w:lang w:val="en-GB" w:eastAsia="en-US"/>
    </w:rPr>
  </w:style>
  <w:style w:type="character" w:customStyle="1" w:styleId="Heading4Char">
    <w:name w:val="Heading 4 Char"/>
    <w:basedOn w:val="DefaultParagraphFont"/>
    <w:link w:val="Heading4"/>
    <w:rPr>
      <w:rFonts w:ascii="Verdana" w:hAnsi="Verdana"/>
      <w:b/>
      <w:sz w:val="24"/>
      <w:szCs w:val="24"/>
      <w:shd w:val="clear" w:color="auto" w:fill="auto"/>
      <w:lang w:val="en-GB" w:eastAsia="en-US"/>
    </w:rPr>
  </w:style>
  <w:style w:type="character" w:customStyle="1" w:styleId="Heading6Char">
    <w:name w:val="Heading 6 Char"/>
    <w:basedOn w:val="DefaultParagraphFont"/>
    <w:link w:val="Heading6"/>
    <w:rPr>
      <w:rFonts w:ascii="Verdana" w:hAnsi="Verdana"/>
      <w:sz w:val="24"/>
      <w:szCs w:val="24"/>
      <w:shd w:val="clear" w:color="auto" w:fill="auto"/>
      <w:lang w:val="en-GB" w:eastAsia="en-US"/>
    </w:rPr>
  </w:style>
  <w:style w:type="character" w:customStyle="1" w:styleId="Heading9Char">
    <w:name w:val="Heading 9 Char"/>
    <w:basedOn w:val="DefaultParagraphFont"/>
    <w:link w:val="Heading9"/>
    <w:rPr>
      <w:rFonts w:ascii="Arial" w:hAnsi="Arial" w:cs="Arial"/>
      <w:sz w:val="22"/>
      <w:szCs w:val="22"/>
      <w:shd w:val="clear" w:color="auto" w:fill="auto"/>
      <w:lang w:val="en-GB" w:eastAsia="en-US"/>
    </w:rPr>
  </w:style>
  <w:style w:type="paragraph" w:styleId="List2">
    <w:name w:val="List 2"/>
    <w:basedOn w:val="Normal"/>
    <w:pPr>
      <w:spacing w:line="240" w:lineRule="auto"/>
      <w:ind w:left="720" w:hanging="360"/>
    </w:pPr>
    <w:rPr>
      <w:sz w:val="20"/>
      <w:szCs w:val="20"/>
      <w:lang w:val="en-US"/>
    </w:rPr>
  </w:style>
  <w:style w:type="paragraph" w:styleId="ListContinue2">
    <w:name w:val="List Continue 2"/>
    <w:basedOn w:val="Normal"/>
    <w:pPr>
      <w:spacing w:after="120" w:line="240" w:lineRule="auto"/>
      <w:ind w:left="720"/>
    </w:pPr>
    <w:rPr>
      <w:sz w:val="20"/>
      <w:szCs w:val="20"/>
      <w:lang w:val="en-US"/>
    </w:rPr>
  </w:style>
  <w:style w:type="paragraph" w:styleId="List3">
    <w:name w:val="List 3"/>
    <w:basedOn w:val="Normal"/>
    <w:pPr>
      <w:spacing w:line="240" w:lineRule="auto"/>
      <w:ind w:left="1080" w:hanging="360"/>
    </w:pPr>
    <w:rPr>
      <w:sz w:val="20"/>
      <w:szCs w:val="20"/>
      <w:lang w:val="en-US"/>
    </w:rPr>
  </w:style>
  <w:style w:type="paragraph" w:styleId="List5">
    <w:name w:val="List 5"/>
    <w:basedOn w:val="Normal"/>
    <w:pPr>
      <w:spacing w:line="240" w:lineRule="auto"/>
      <w:ind w:left="1800" w:hanging="360"/>
    </w:pPr>
    <w:rPr>
      <w:sz w:val="20"/>
      <w:szCs w:val="20"/>
      <w:lang w:val="en-US"/>
    </w:rPr>
  </w:style>
  <w:style w:type="paragraph" w:styleId="BodyText3">
    <w:name w:val="Body Text 3"/>
    <w:basedOn w:val="Normal"/>
    <w:link w:val="BodyText3Char"/>
    <w:pPr>
      <w:spacing w:line="240" w:lineRule="auto"/>
      <w:jc w:val="right"/>
    </w:pPr>
    <w:rPr>
      <w:color w:val="000080"/>
      <w:sz w:val="24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rPr>
      <w:color w:val="000080"/>
      <w:sz w:val="24"/>
      <w:szCs w:val="24"/>
      <w:shd w:val="clear" w:color="auto" w:fill="auto"/>
      <w:lang w:val="en-US" w:eastAsia="en-US"/>
    </w:rPr>
  </w:style>
  <w:style w:type="paragraph" w:styleId="List4">
    <w:name w:val="List 4"/>
    <w:basedOn w:val="Normal"/>
    <w:pPr>
      <w:spacing w:line="240" w:lineRule="auto"/>
      <w:ind w:left="1440" w:hanging="360"/>
    </w:pPr>
    <w:rPr>
      <w:sz w:val="20"/>
      <w:szCs w:val="20"/>
      <w:lang w:val="en-US"/>
    </w:rPr>
  </w:style>
  <w:style w:type="paragraph" w:styleId="BodyTextIndent3">
    <w:name w:val="Body Text Indent 3"/>
    <w:basedOn w:val="Normal"/>
    <w:link w:val="BodyTextIndent3Char"/>
    <w:pPr>
      <w:spacing w:line="240" w:lineRule="auto"/>
      <w:ind w:left="1440"/>
      <w:jc w:val="both"/>
    </w:pPr>
    <w:rPr>
      <w:rFonts w:ascii="Arial" w:hAnsi="Arial"/>
      <w:lang w:val="en-US"/>
    </w:rPr>
  </w:style>
  <w:style w:type="character" w:customStyle="1" w:styleId="BodyTextIndent3Char">
    <w:name w:val="Body Text Indent 3 Char"/>
    <w:basedOn w:val="DefaultParagraphFont"/>
    <w:link w:val="BodyTextIndent3"/>
    <w:rPr>
      <w:rFonts w:ascii="Arial" w:hAnsi="Arial"/>
      <w:sz w:val="22"/>
      <w:szCs w:val="22"/>
      <w:shd w:val="clear" w:color="auto" w:fill="auto"/>
      <w:lang w:val="en-US" w:eastAsia="en-US"/>
    </w:rPr>
  </w:style>
  <w:style w:type="paragraph" w:styleId="BodyTextIndent">
    <w:name w:val="Body Text Indent"/>
    <w:basedOn w:val="Normal"/>
    <w:link w:val="BodyTextIndentChar"/>
    <w:pPr>
      <w:spacing w:line="240" w:lineRule="auto"/>
      <w:ind w:left="720"/>
      <w:jc w:val="both"/>
    </w:pPr>
    <w:rPr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Pr>
      <w:sz w:val="24"/>
      <w:szCs w:val="24"/>
      <w:shd w:val="clear" w:color="auto" w:fill="auto"/>
      <w:lang w:val="en-US" w:eastAsia="en-US"/>
    </w:rPr>
  </w:style>
  <w:style w:type="paragraph" w:styleId="ListContinue4">
    <w:name w:val="List Continue 4"/>
    <w:basedOn w:val="Normal"/>
    <w:pPr>
      <w:spacing w:after="120" w:line="240" w:lineRule="auto"/>
      <w:ind w:left="1440"/>
    </w:pPr>
    <w:rPr>
      <w:sz w:val="20"/>
      <w:szCs w:val="20"/>
      <w:lang w:val="en-US"/>
    </w:rPr>
  </w:style>
  <w:style w:type="paragraph" w:styleId="ListContinue3">
    <w:name w:val="List Continue 3"/>
    <w:basedOn w:val="Normal"/>
    <w:pPr>
      <w:spacing w:after="120" w:line="240" w:lineRule="auto"/>
      <w:ind w:left="1080"/>
    </w:pPr>
    <w:rPr>
      <w:sz w:val="20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Pr>
      <w:rFonts w:ascii="Verdana" w:hAnsi="Verdana"/>
      <w:b/>
      <w:spacing w:val="20"/>
      <w:sz w:val="22"/>
      <w:szCs w:val="22"/>
      <w:shd w:val="clear" w:color="auto" w:fill="auto"/>
      <w:lang w:val="en-US" w:eastAsia="en-US"/>
    </w:rPr>
  </w:style>
  <w:style w:type="paragraph" w:styleId="BodyTextIndent2">
    <w:name w:val="Body Text Indent 2"/>
    <w:basedOn w:val="Normal"/>
    <w:link w:val="BodyTextIndent2Char"/>
    <w:pPr>
      <w:spacing w:line="240" w:lineRule="auto"/>
      <w:ind w:left="864"/>
      <w:jc w:val="both"/>
    </w:pPr>
    <w:rPr>
      <w:rFonts w:ascii="Verdana" w:hAnsi="Verdana"/>
      <w:spacing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Pr>
      <w:rFonts w:ascii="Verdana" w:hAnsi="Verdana"/>
      <w:spacing w:val="20"/>
      <w:sz w:val="22"/>
      <w:szCs w:val="22"/>
      <w:shd w:val="clear" w:color="auto" w:fill="auto"/>
      <w:lang w:val="en-US" w:eastAsia="en-US"/>
    </w:rPr>
  </w:style>
  <w:style w:type="paragraph" w:styleId="DocumentMap">
    <w:name w:val="Document Map"/>
    <w:basedOn w:val="Normal"/>
    <w:link w:val="DocumentMapChar"/>
    <w:pPr>
      <w:shd w:val="clear" w:color="000000" w:fill="000080"/>
      <w:spacing w:line="240" w:lineRule="auto"/>
    </w:pPr>
    <w:rPr>
      <w:rFonts w:ascii="Tahoma" w:hAnsi="Tahoma"/>
      <w:sz w:val="24"/>
      <w:szCs w:val="24"/>
      <w:lang w:val="en-US"/>
    </w:rPr>
  </w:style>
  <w:style w:type="character" w:customStyle="1" w:styleId="DocumentMapChar">
    <w:name w:val="Document Map Char"/>
    <w:basedOn w:val="DefaultParagraphFont"/>
    <w:link w:val="DocumentMap"/>
    <w:rPr>
      <w:rFonts w:ascii="Tahoma" w:hAnsi="Tahoma"/>
      <w:sz w:val="24"/>
      <w:szCs w:val="24"/>
      <w:shd w:val="clear" w:color="auto" w:fill="000080"/>
      <w:lang w:val="en-US" w:eastAsia="en-US"/>
    </w:rPr>
  </w:style>
  <w:style w:type="character" w:customStyle="1" w:styleId="klink">
    <w:name w:val="klink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685</Words>
  <Characters>3910</Characters>
  <Application>Microsoft Office Word</Application>
  <DocSecurity>0</DocSecurity>
  <Lines>32</Lines>
  <Paragraphs>9</Paragraph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Company>Multi Assocites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Laxman1</dc:creator>
  <cp:lastModifiedBy>DELL</cp:lastModifiedBy>
  <cp:revision>5</cp:revision>
  <dcterms:created xsi:type="dcterms:W3CDTF">2026-01-01T12:33:00Z</dcterms:created>
  <dcterms:modified xsi:type="dcterms:W3CDTF">2026-01-01T12:48:00Z</dcterms:modified>
  <cp:version>9.114.128.49613</cp:version>
</cp:coreProperties>
</file>